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29" w:rsidRDefault="00B125C8">
      <w:pPr>
        <w:tabs>
          <w:tab w:val="right" w:pos="9639"/>
        </w:tabs>
        <w:spacing w:after="240"/>
        <w:jc w:val="left"/>
      </w:pPr>
      <w:r>
        <w:rPr>
          <w:noProof/>
          <w:lang w:eastAsia="en-ZA"/>
        </w:rPr>
        <w:drawing>
          <wp:inline distT="0" distB="0" distL="0" distR="0" wp14:anchorId="70F487FD" wp14:editId="7011F5EF">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rsidR="00130229" w:rsidRDefault="00B125C8" w:rsidP="005550BE">
      <w:pPr>
        <w:pStyle w:val="Department"/>
        <w:jc w:val="left"/>
        <w:rPr>
          <w:b w:val="0"/>
          <w:i/>
          <w:sz w:val="20"/>
          <w:szCs w:val="16"/>
        </w:rPr>
      </w:pPr>
      <w:r>
        <w:rPr>
          <w:b w:val="0"/>
          <w:i/>
          <w:sz w:val="20"/>
          <w:szCs w:val="16"/>
        </w:rPr>
        <w:t>Corporate and Information Governance Services</w:t>
      </w:r>
    </w:p>
    <w:p w:rsidR="00130229" w:rsidRDefault="00497896">
      <w:pPr>
        <w:jc w:val="right"/>
        <w:rPr>
          <w:i/>
          <w:color w:val="000000" w:themeColor="text1"/>
        </w:rPr>
      </w:pPr>
      <w:r>
        <w:rPr>
          <w:i/>
          <w:color w:val="000000" w:themeColor="text1"/>
        </w:rPr>
        <w:t>September</w:t>
      </w:r>
      <w:r w:rsidR="00B125C8">
        <w:rPr>
          <w:i/>
          <w:color w:val="000000" w:themeColor="text1"/>
        </w:rPr>
        <w:t xml:space="preserve"> 2018</w:t>
      </w:r>
    </w:p>
    <w:p w:rsidR="00130229" w:rsidRDefault="005550BE">
      <w:pPr>
        <w:pStyle w:val="Heading0"/>
        <w:rPr>
          <w:b w:val="0"/>
          <w:lang w:val="en-GB"/>
        </w:rPr>
      </w:pPr>
      <w:r>
        <w:rPr>
          <w:lang w:val="en-GB"/>
        </w:rPr>
        <w:t xml:space="preserve">DRAFT </w:t>
      </w:r>
      <w:r w:rsidR="00B125C8">
        <w:rPr>
          <w:lang w:val="en-GB"/>
        </w:rPr>
        <w:t>Terms of Reference</w:t>
      </w:r>
    </w:p>
    <w:p w:rsidR="00130229" w:rsidRDefault="00B125C8">
      <w:pPr>
        <w:pStyle w:val="Heading0"/>
        <w:rPr>
          <w:lang w:val="en-GB"/>
        </w:rPr>
      </w:pPr>
      <w:r>
        <w:rPr>
          <w:lang w:val="en-GB"/>
        </w:rPr>
        <w:t xml:space="preserve">SENATE COMMITTEE FOR </w:t>
      </w:r>
      <w:r w:rsidR="005550BE">
        <w:rPr>
          <w:lang w:val="en-GB"/>
        </w:rPr>
        <w:t>ACADEMIC STANDARDS (SCAS</w:t>
      </w:r>
      <w:r>
        <w:rPr>
          <w:lang w:val="en-GB"/>
        </w:rPr>
        <w:t>)</w:t>
      </w:r>
    </w:p>
    <w:p w:rsidR="003305A2" w:rsidRDefault="003305A2">
      <w:pPr>
        <w:pStyle w:val="Heading1"/>
        <w:numPr>
          <w:ilvl w:val="0"/>
          <w:numId w:val="27"/>
        </w:numPr>
        <w:tabs>
          <w:tab w:val="clear" w:pos="8371"/>
        </w:tabs>
        <w:ind w:left="567" w:hanging="567"/>
      </w:pPr>
      <w:r>
        <w:t>Establishment</w:t>
      </w:r>
    </w:p>
    <w:p w:rsidR="007500E1" w:rsidRDefault="007500E1" w:rsidP="007500E1">
      <w:r>
        <w:t>The general function of Senate is to regulate all learning, teaching, research and academic support functions (paragraph 14(1)(a).</w:t>
      </w:r>
    </w:p>
    <w:p w:rsidR="003305A2" w:rsidRPr="003305A2" w:rsidRDefault="003305A2" w:rsidP="003305A2">
      <w:r>
        <w:t>The Senate Committee for Academic Standards (SCAS) is a standing committee of the NWU Senate established in terms of paragraph 19(1) of the Statute of the North-West University.</w:t>
      </w:r>
    </w:p>
    <w:p w:rsidR="00130229" w:rsidRDefault="00B125C8">
      <w:pPr>
        <w:pStyle w:val="Heading1"/>
        <w:numPr>
          <w:ilvl w:val="0"/>
          <w:numId w:val="27"/>
        </w:numPr>
        <w:tabs>
          <w:tab w:val="clear" w:pos="8371"/>
        </w:tabs>
        <w:ind w:left="567" w:hanging="567"/>
      </w:pPr>
      <w:r>
        <w:t>Purpose of the committee</w:t>
      </w:r>
    </w:p>
    <w:p w:rsidR="00130229" w:rsidRDefault="00B125C8" w:rsidP="003305A2">
      <w:pPr>
        <w:spacing w:after="0" w:line="276" w:lineRule="auto"/>
        <w:rPr>
          <w:color w:val="000000" w:themeColor="text1"/>
          <w:lang w:val="en-GB"/>
        </w:rPr>
      </w:pPr>
      <w:r>
        <w:rPr>
          <w:color w:val="000000" w:themeColor="text1"/>
          <w:lang w:val="en-GB"/>
        </w:rPr>
        <w:t>SC</w:t>
      </w:r>
      <w:r w:rsidR="00F36518">
        <w:rPr>
          <w:color w:val="000000" w:themeColor="text1"/>
          <w:lang w:val="en-GB"/>
        </w:rPr>
        <w:t>AS</w:t>
      </w:r>
      <w:r>
        <w:rPr>
          <w:color w:val="000000" w:themeColor="text1"/>
          <w:lang w:val="en-GB"/>
        </w:rPr>
        <w:t xml:space="preserve"> is established for the purpose of considering matters related to </w:t>
      </w:r>
      <w:r w:rsidR="00F36518">
        <w:rPr>
          <w:color w:val="000000" w:themeColor="text1"/>
          <w:lang w:val="en-GB"/>
        </w:rPr>
        <w:t xml:space="preserve">the </w:t>
      </w:r>
      <w:r w:rsidR="00725782">
        <w:rPr>
          <w:color w:val="000000" w:themeColor="text1"/>
          <w:lang w:val="en-GB"/>
        </w:rPr>
        <w:t xml:space="preserve">compliance, </w:t>
      </w:r>
      <w:r w:rsidR="00DC4462">
        <w:rPr>
          <w:color w:val="000000" w:themeColor="text1"/>
          <w:lang w:val="en-GB"/>
        </w:rPr>
        <w:t>quality,</w:t>
      </w:r>
      <w:r w:rsidR="00E7576F">
        <w:rPr>
          <w:color w:val="000000" w:themeColor="text1"/>
          <w:lang w:val="en-GB"/>
        </w:rPr>
        <w:t xml:space="preserve"> relevance</w:t>
      </w:r>
      <w:r w:rsidR="00F36518">
        <w:rPr>
          <w:color w:val="000000" w:themeColor="text1"/>
          <w:lang w:val="en-GB"/>
        </w:rPr>
        <w:t xml:space="preserve"> and responsiveness of the NWU formal</w:t>
      </w:r>
      <w:r w:rsidR="00705030">
        <w:rPr>
          <w:color w:val="000000" w:themeColor="text1"/>
          <w:lang w:val="en-GB"/>
        </w:rPr>
        <w:t xml:space="preserve"> academic offering</w:t>
      </w:r>
      <w:r w:rsidR="00F36518">
        <w:rPr>
          <w:color w:val="000000" w:themeColor="text1"/>
          <w:lang w:val="en-GB"/>
        </w:rPr>
        <w:t xml:space="preserve"> and</w:t>
      </w:r>
      <w:r w:rsidR="00705030">
        <w:rPr>
          <w:color w:val="000000" w:themeColor="text1"/>
          <w:lang w:val="en-GB"/>
        </w:rPr>
        <w:t xml:space="preserve"> continuing education courses</w:t>
      </w:r>
      <w:r>
        <w:rPr>
          <w:color w:val="000000" w:themeColor="text1"/>
          <w:lang w:val="en-GB"/>
        </w:rPr>
        <w:t>, and to make recommendations to Senate in this regard.</w:t>
      </w:r>
    </w:p>
    <w:p w:rsidR="00130229" w:rsidRDefault="00B125C8">
      <w:pPr>
        <w:pStyle w:val="Heading1"/>
        <w:numPr>
          <w:ilvl w:val="0"/>
          <w:numId w:val="27"/>
        </w:numPr>
        <w:tabs>
          <w:tab w:val="clear" w:pos="8371"/>
        </w:tabs>
        <w:ind w:left="567" w:hanging="567"/>
      </w:pPr>
      <w:r>
        <w:t>Responsibilities of the committee</w:t>
      </w:r>
    </w:p>
    <w:p w:rsidR="00130229" w:rsidRDefault="00B125C8" w:rsidP="003305A2">
      <w:pPr>
        <w:rPr>
          <w:lang w:val="en-GB"/>
        </w:rPr>
      </w:pPr>
      <w:r>
        <w:rPr>
          <w:lang w:val="en-GB"/>
        </w:rPr>
        <w:t>The Committee considers matters related to the following:</w:t>
      </w:r>
    </w:p>
    <w:p w:rsidR="00130229" w:rsidRDefault="00B125C8">
      <w:pPr>
        <w:pStyle w:val="Heading2"/>
        <w:rPr>
          <w:lang w:val="en-GB"/>
        </w:rPr>
      </w:pPr>
      <w:r>
        <w:rPr>
          <w:lang w:val="en-GB"/>
        </w:rPr>
        <w:tab/>
        <w:t xml:space="preserve">Strategic matters impacting </w:t>
      </w:r>
      <w:r w:rsidR="00725782">
        <w:rPr>
          <w:lang w:val="en-GB"/>
        </w:rPr>
        <w:t>the formal and informal academic offering</w:t>
      </w:r>
      <w:r w:rsidR="00B83E81">
        <w:rPr>
          <w:lang w:val="en-GB"/>
        </w:rPr>
        <w:t>, including, but not limited to</w:t>
      </w:r>
    </w:p>
    <w:p w:rsidR="00B83E81" w:rsidRDefault="00B125C8" w:rsidP="003305A2">
      <w:pPr>
        <w:pStyle w:val="ListParagraph"/>
        <w:numPr>
          <w:ilvl w:val="0"/>
          <w:numId w:val="28"/>
        </w:numPr>
        <w:rPr>
          <w:lang w:val="en-GB"/>
        </w:rPr>
      </w:pPr>
      <w:r w:rsidRPr="003305A2">
        <w:rPr>
          <w:lang w:val="en-GB"/>
        </w:rPr>
        <w:t xml:space="preserve">Alignment of </w:t>
      </w:r>
      <w:r w:rsidR="00725782">
        <w:rPr>
          <w:lang w:val="en-GB"/>
        </w:rPr>
        <w:t>qualifications, academic programmes and continuing education offerings</w:t>
      </w:r>
      <w:r w:rsidRPr="003305A2">
        <w:rPr>
          <w:lang w:val="en-GB"/>
        </w:rPr>
        <w:t xml:space="preserve"> with external</w:t>
      </w:r>
      <w:r w:rsidR="00B83E81">
        <w:rPr>
          <w:lang w:val="en-GB"/>
        </w:rPr>
        <w:t xml:space="preserve"> and internal</w:t>
      </w:r>
      <w:r w:rsidRPr="003305A2">
        <w:rPr>
          <w:lang w:val="en-GB"/>
        </w:rPr>
        <w:t xml:space="preserve"> compliance requirements</w:t>
      </w:r>
      <w:r w:rsidR="00B83E81">
        <w:rPr>
          <w:lang w:val="en-GB"/>
        </w:rPr>
        <w:t>;</w:t>
      </w:r>
    </w:p>
    <w:p w:rsidR="00130229" w:rsidRDefault="00B83E81" w:rsidP="003305A2">
      <w:pPr>
        <w:pStyle w:val="ListParagraph"/>
        <w:numPr>
          <w:ilvl w:val="0"/>
          <w:numId w:val="28"/>
        </w:numPr>
        <w:rPr>
          <w:lang w:val="en-GB"/>
        </w:rPr>
      </w:pPr>
      <w:r>
        <w:rPr>
          <w:lang w:val="en-GB"/>
        </w:rPr>
        <w:t>Ensuring that the NWU PQM and CE portfolio remain relevant, responsive to internal and external needs, and aligned to</w:t>
      </w:r>
      <w:r w:rsidR="00725782">
        <w:rPr>
          <w:lang w:val="en-GB"/>
        </w:rPr>
        <w:t xml:space="preserve"> </w:t>
      </w:r>
      <w:r w:rsidR="00B125C8" w:rsidRPr="003305A2">
        <w:rPr>
          <w:lang w:val="en-GB"/>
        </w:rPr>
        <w:t>the NWU strateg</w:t>
      </w:r>
      <w:r>
        <w:rPr>
          <w:lang w:val="en-GB"/>
        </w:rPr>
        <w:t>ic intent and required market direction;</w:t>
      </w:r>
    </w:p>
    <w:p w:rsidR="00130229" w:rsidRDefault="00073D11" w:rsidP="003305A2">
      <w:pPr>
        <w:pStyle w:val="ListParagraph"/>
        <w:numPr>
          <w:ilvl w:val="0"/>
          <w:numId w:val="28"/>
        </w:numPr>
        <w:rPr>
          <w:lang w:val="en-GB"/>
        </w:rPr>
      </w:pPr>
      <w:r w:rsidRPr="003305A2">
        <w:rPr>
          <w:lang w:val="en-GB"/>
        </w:rPr>
        <w:t>Monitoring the implementation of</w:t>
      </w:r>
      <w:r w:rsidR="00B125C8" w:rsidRPr="003305A2">
        <w:rPr>
          <w:lang w:val="en-GB"/>
        </w:rPr>
        <w:t xml:space="preserve"> </w:t>
      </w:r>
      <w:r w:rsidR="00725782">
        <w:rPr>
          <w:lang w:val="en-GB"/>
        </w:rPr>
        <w:t>regulatory requirements in all matters related to the formal and informal academic offering</w:t>
      </w:r>
      <w:r w:rsidR="00B83E81">
        <w:rPr>
          <w:lang w:val="en-GB"/>
        </w:rPr>
        <w:t>;</w:t>
      </w:r>
    </w:p>
    <w:p w:rsidR="00B83E81" w:rsidRDefault="00B83E81" w:rsidP="003305A2">
      <w:pPr>
        <w:pStyle w:val="ListParagraph"/>
        <w:numPr>
          <w:ilvl w:val="0"/>
          <w:numId w:val="28"/>
        </w:numPr>
        <w:rPr>
          <w:lang w:val="en-GB"/>
        </w:rPr>
      </w:pPr>
      <w:r>
        <w:rPr>
          <w:lang w:val="en-GB"/>
        </w:rPr>
        <w:t>Identifying and mitigating risks related to non-compliance of any matter related to the formal and informal academic offering of the NWU.</w:t>
      </w:r>
    </w:p>
    <w:p w:rsidR="00130229" w:rsidRDefault="006A0199">
      <w:pPr>
        <w:pStyle w:val="Heading2"/>
        <w:rPr>
          <w:lang w:val="en-GB"/>
        </w:rPr>
      </w:pPr>
      <w:r>
        <w:rPr>
          <w:lang w:val="en-GB"/>
        </w:rPr>
        <w:t>M</w:t>
      </w:r>
      <w:r w:rsidR="00B125C8">
        <w:rPr>
          <w:lang w:val="en-GB"/>
        </w:rPr>
        <w:t xml:space="preserve">atters related to the </w:t>
      </w:r>
      <w:r w:rsidR="00B83E81">
        <w:rPr>
          <w:lang w:val="en-GB"/>
        </w:rPr>
        <w:t>quality assurance of the formal and informal academic offering</w:t>
      </w:r>
      <w:r w:rsidR="00B125C8">
        <w:rPr>
          <w:lang w:val="en-GB"/>
        </w:rPr>
        <w:t>, including, but not limited to</w:t>
      </w:r>
    </w:p>
    <w:p w:rsidR="00CD611E" w:rsidRDefault="006A0199" w:rsidP="00705030">
      <w:pPr>
        <w:pStyle w:val="ListParagraph"/>
        <w:ind w:left="0"/>
        <w:rPr>
          <w:lang w:val="en-GB"/>
        </w:rPr>
      </w:pPr>
      <w:r>
        <w:rPr>
          <w:lang w:val="en-GB"/>
        </w:rPr>
        <w:t>Considering and approval of</w:t>
      </w:r>
      <w:r w:rsidR="00705030">
        <w:rPr>
          <w:lang w:val="en-GB"/>
        </w:rPr>
        <w:t>:</w:t>
      </w:r>
    </w:p>
    <w:p w:rsidR="00130229" w:rsidRPr="00705030" w:rsidRDefault="006A0199" w:rsidP="00705030">
      <w:pPr>
        <w:pStyle w:val="ListParagraph"/>
        <w:numPr>
          <w:ilvl w:val="0"/>
          <w:numId w:val="41"/>
        </w:numPr>
        <w:rPr>
          <w:lang w:val="en-GB"/>
        </w:rPr>
      </w:pPr>
      <w:r w:rsidRPr="00705030">
        <w:rPr>
          <w:lang w:val="en-GB"/>
        </w:rPr>
        <w:t>amendments to existing formal academic offerings</w:t>
      </w:r>
      <w:r w:rsidR="00705030">
        <w:rPr>
          <w:lang w:val="en-GB"/>
        </w:rPr>
        <w:t xml:space="preserve"> and continuing education courses</w:t>
      </w:r>
      <w:r w:rsidRPr="00705030">
        <w:rPr>
          <w:lang w:val="en-GB"/>
        </w:rPr>
        <w:t xml:space="preserve"> within the scope of the internal and external regulatory framework;</w:t>
      </w:r>
    </w:p>
    <w:p w:rsidR="006A0199" w:rsidRDefault="006A0199" w:rsidP="006A0199">
      <w:pPr>
        <w:pStyle w:val="ListParagraph"/>
        <w:numPr>
          <w:ilvl w:val="0"/>
          <w:numId w:val="37"/>
        </w:numPr>
        <w:rPr>
          <w:lang w:val="en-GB"/>
        </w:rPr>
      </w:pPr>
      <w:r>
        <w:rPr>
          <w:lang w:val="en-GB"/>
        </w:rPr>
        <w:t>a viability/sustainability submission for a new qualification or academic programme</w:t>
      </w:r>
      <w:r w:rsidR="00314D66">
        <w:rPr>
          <w:lang w:val="en-GB"/>
        </w:rPr>
        <w:t xml:space="preserve"> or as required</w:t>
      </w:r>
      <w:r>
        <w:rPr>
          <w:lang w:val="en-GB"/>
        </w:rPr>
        <w:t>;</w:t>
      </w:r>
    </w:p>
    <w:p w:rsidR="006A0199" w:rsidRDefault="006A0199" w:rsidP="006A0199">
      <w:pPr>
        <w:pStyle w:val="ListParagraph"/>
        <w:numPr>
          <w:ilvl w:val="0"/>
          <w:numId w:val="37"/>
        </w:numPr>
        <w:rPr>
          <w:lang w:val="en-GB"/>
        </w:rPr>
      </w:pPr>
      <w:r>
        <w:rPr>
          <w:lang w:val="en-GB"/>
        </w:rPr>
        <w:t>a new qualification submission</w:t>
      </w:r>
      <w:r w:rsidRPr="006A0199">
        <w:t xml:space="preserve"> </w:t>
      </w:r>
      <w:r w:rsidRPr="006A0199">
        <w:rPr>
          <w:lang w:val="en-GB"/>
        </w:rPr>
        <w:t>within the scope of the internal and external regulatory framework</w:t>
      </w:r>
      <w:r>
        <w:rPr>
          <w:lang w:val="en-GB"/>
        </w:rPr>
        <w:t>;</w:t>
      </w:r>
    </w:p>
    <w:p w:rsidR="006A0199" w:rsidRDefault="006A0199" w:rsidP="006A0199">
      <w:pPr>
        <w:pStyle w:val="ListParagraph"/>
        <w:numPr>
          <w:ilvl w:val="0"/>
          <w:numId w:val="37"/>
        </w:numPr>
        <w:rPr>
          <w:lang w:val="en-GB"/>
        </w:rPr>
      </w:pPr>
      <w:r>
        <w:rPr>
          <w:lang w:val="en-GB"/>
        </w:rPr>
        <w:t>a new academic programme submission</w:t>
      </w:r>
      <w:r w:rsidRPr="006A0199">
        <w:t xml:space="preserve"> </w:t>
      </w:r>
      <w:r w:rsidRPr="006A0199">
        <w:rPr>
          <w:lang w:val="en-GB"/>
        </w:rPr>
        <w:t>within the scope of the internal and external regulatory framework</w:t>
      </w:r>
      <w:r>
        <w:rPr>
          <w:lang w:val="en-GB"/>
        </w:rPr>
        <w:t>;</w:t>
      </w:r>
    </w:p>
    <w:p w:rsidR="00C857C4" w:rsidRDefault="00C857C4" w:rsidP="006A0199">
      <w:pPr>
        <w:pStyle w:val="ListParagraph"/>
        <w:numPr>
          <w:ilvl w:val="0"/>
          <w:numId w:val="37"/>
        </w:numPr>
        <w:rPr>
          <w:lang w:val="en-GB"/>
        </w:rPr>
      </w:pPr>
      <w:r>
        <w:rPr>
          <w:lang w:val="en-GB"/>
        </w:rPr>
        <w:t xml:space="preserve">new modes of </w:t>
      </w:r>
      <w:r w:rsidR="006C7DF7">
        <w:rPr>
          <w:lang w:val="en-GB"/>
        </w:rPr>
        <w:t xml:space="preserve"> provision</w:t>
      </w:r>
      <w:r>
        <w:rPr>
          <w:lang w:val="en-GB"/>
        </w:rPr>
        <w:t xml:space="preserve"> of an existing formal academic offering;</w:t>
      </w:r>
    </w:p>
    <w:p w:rsidR="00C857C4" w:rsidRDefault="00C857C4" w:rsidP="006A0199">
      <w:pPr>
        <w:pStyle w:val="ListParagraph"/>
        <w:numPr>
          <w:ilvl w:val="0"/>
          <w:numId w:val="37"/>
        </w:numPr>
        <w:rPr>
          <w:lang w:val="en-GB"/>
        </w:rPr>
      </w:pPr>
      <w:r>
        <w:rPr>
          <w:lang w:val="en-GB"/>
        </w:rPr>
        <w:t xml:space="preserve">the offering of an existing formal academic offering to another </w:t>
      </w:r>
      <w:r w:rsidR="00314D66">
        <w:rPr>
          <w:lang w:val="en-GB"/>
        </w:rPr>
        <w:t xml:space="preserve"> campus of the NWU</w:t>
      </w:r>
      <w:r>
        <w:rPr>
          <w:lang w:val="en-GB"/>
        </w:rPr>
        <w:t>;</w:t>
      </w:r>
    </w:p>
    <w:p w:rsidR="006A0199" w:rsidRPr="006A0199" w:rsidRDefault="006A0199" w:rsidP="006A0199">
      <w:pPr>
        <w:pStyle w:val="ListParagraph"/>
        <w:numPr>
          <w:ilvl w:val="0"/>
          <w:numId w:val="37"/>
        </w:numPr>
        <w:rPr>
          <w:lang w:val="en-GB"/>
        </w:rPr>
      </w:pPr>
      <w:r>
        <w:rPr>
          <w:lang w:val="en-GB"/>
        </w:rPr>
        <w:t>either the renewal of a continuing education offering, or a new continuing education offering.</w:t>
      </w:r>
    </w:p>
    <w:p w:rsidR="00130229" w:rsidRDefault="00C857C4">
      <w:pPr>
        <w:pStyle w:val="Heading2"/>
        <w:rPr>
          <w:lang w:val="en-GB"/>
        </w:rPr>
      </w:pPr>
      <w:r>
        <w:rPr>
          <w:lang w:val="en-GB"/>
        </w:rPr>
        <w:t>M</w:t>
      </w:r>
      <w:r w:rsidR="00D34B4E">
        <w:rPr>
          <w:lang w:val="en-GB"/>
        </w:rPr>
        <w:t>atters</w:t>
      </w:r>
      <w:r w:rsidR="00B125C8">
        <w:rPr>
          <w:lang w:val="en-GB"/>
        </w:rPr>
        <w:t xml:space="preserve"> related to the </w:t>
      </w:r>
      <w:r>
        <w:rPr>
          <w:lang w:val="en-GB"/>
        </w:rPr>
        <w:t>timeous annual finalisation of yearbooks</w:t>
      </w:r>
    </w:p>
    <w:p w:rsidR="00130229" w:rsidRDefault="00B125C8" w:rsidP="00D34B4E">
      <w:r>
        <w:rPr>
          <w:lang w:val="en-GB"/>
        </w:rPr>
        <w:t xml:space="preserve">Any and all ad hoc items deemed to be of importance for </w:t>
      </w:r>
      <w:r w:rsidR="00C857C4">
        <w:rPr>
          <w:lang w:val="en-GB"/>
        </w:rPr>
        <w:t>the quality assurance of the formal and informal academic offering of the NWU</w:t>
      </w:r>
      <w:r>
        <w:rPr>
          <w:lang w:val="en-GB"/>
        </w:rPr>
        <w:t>.</w:t>
      </w:r>
    </w:p>
    <w:p w:rsidR="00130229" w:rsidRDefault="00B125C8">
      <w:pPr>
        <w:pStyle w:val="Heading1"/>
        <w:numPr>
          <w:ilvl w:val="0"/>
          <w:numId w:val="27"/>
        </w:numPr>
        <w:tabs>
          <w:tab w:val="clear" w:pos="8371"/>
        </w:tabs>
        <w:ind w:left="567" w:hanging="567"/>
      </w:pPr>
      <w:r>
        <w:t xml:space="preserve">Authority </w:t>
      </w:r>
    </w:p>
    <w:p w:rsidR="00130229" w:rsidRDefault="00B125C8">
      <w:pPr>
        <w:ind w:left="567"/>
        <w:rPr>
          <w:lang w:val="en-GB"/>
        </w:rPr>
      </w:pPr>
      <w:r>
        <w:rPr>
          <w:lang w:val="en-GB"/>
        </w:rPr>
        <w:t>The SC</w:t>
      </w:r>
      <w:r w:rsidR="00B9118D">
        <w:rPr>
          <w:lang w:val="en-GB"/>
        </w:rPr>
        <w:t>AS</w:t>
      </w:r>
      <w:r w:rsidR="00DE72A9">
        <w:rPr>
          <w:lang w:val="en-GB"/>
        </w:rPr>
        <w:t>, as</w:t>
      </w:r>
      <w:r>
        <w:rPr>
          <w:lang w:val="en-GB"/>
        </w:rPr>
        <w:t xml:space="preserve"> a sta</w:t>
      </w:r>
      <w:r w:rsidR="00DE72A9">
        <w:rPr>
          <w:lang w:val="en-GB"/>
        </w:rPr>
        <w:t>nding committee of the Senate,</w:t>
      </w:r>
      <w:r>
        <w:rPr>
          <w:lang w:val="en-GB"/>
        </w:rPr>
        <w:t xml:space="preserve"> considers all matters related to </w:t>
      </w:r>
      <w:r w:rsidR="00DE72A9" w:rsidRPr="00DE72A9">
        <w:rPr>
          <w:lang w:val="en-GB"/>
        </w:rPr>
        <w:t>the compliance, quality, relevance and responsiveness of the NWU formal and informal academic offering</w:t>
      </w:r>
      <w:r>
        <w:rPr>
          <w:lang w:val="en-GB"/>
        </w:rPr>
        <w:t xml:space="preserve"> and recommends </w:t>
      </w:r>
      <w:r w:rsidR="00DE72A9">
        <w:rPr>
          <w:lang w:val="en-GB"/>
        </w:rPr>
        <w:t>its decisions</w:t>
      </w:r>
      <w:r>
        <w:rPr>
          <w:lang w:val="en-GB"/>
        </w:rPr>
        <w:t xml:space="preserve"> to Senate for </w:t>
      </w:r>
      <w:r w:rsidR="007500E1">
        <w:rPr>
          <w:lang w:val="en-GB"/>
        </w:rPr>
        <w:t>approval</w:t>
      </w:r>
      <w:r>
        <w:rPr>
          <w:lang w:val="en-GB"/>
        </w:rPr>
        <w:t xml:space="preserve">. </w:t>
      </w:r>
    </w:p>
    <w:p w:rsidR="00130229" w:rsidRDefault="00B125C8">
      <w:pPr>
        <w:pStyle w:val="Heading1"/>
        <w:numPr>
          <w:ilvl w:val="0"/>
          <w:numId w:val="27"/>
        </w:numPr>
        <w:tabs>
          <w:tab w:val="clear" w:pos="8371"/>
        </w:tabs>
        <w:ind w:left="567" w:hanging="567"/>
      </w:pPr>
      <w:r>
        <w:t>Membership</w:t>
      </w:r>
    </w:p>
    <w:p w:rsidR="00130229" w:rsidRDefault="00B125C8">
      <w:pPr>
        <w:pStyle w:val="Heading1"/>
        <w:numPr>
          <w:ilvl w:val="1"/>
          <w:numId w:val="1"/>
        </w:numPr>
        <w:ind w:left="578" w:hanging="578"/>
        <w:rPr>
          <w:lang w:val="en-GB"/>
        </w:rPr>
      </w:pPr>
      <w:r>
        <w:rPr>
          <w:lang w:val="en-GB"/>
        </w:rPr>
        <w:t>Composition</w:t>
      </w:r>
    </w:p>
    <w:p w:rsidR="00130229" w:rsidRDefault="00B125C8" w:rsidP="00E15753">
      <w:pPr>
        <w:tabs>
          <w:tab w:val="left" w:pos="720"/>
        </w:tabs>
        <w:autoSpaceDE w:val="0"/>
        <w:autoSpaceDN w:val="0"/>
        <w:adjustRightInd w:val="0"/>
        <w:spacing w:after="0"/>
        <w:ind w:left="567"/>
        <w:rPr>
          <w:rFonts w:cs="Arial"/>
          <w:szCs w:val="23"/>
          <w:lang w:val="en-GB" w:eastAsia="en-GB"/>
        </w:rPr>
      </w:pPr>
      <w:r>
        <w:rPr>
          <w:rFonts w:cs="Arial"/>
          <w:szCs w:val="23"/>
          <w:lang w:val="en-GB" w:eastAsia="en-GB"/>
        </w:rPr>
        <w:t>SC</w:t>
      </w:r>
      <w:r w:rsidR="00DE72A9">
        <w:rPr>
          <w:rFonts w:cs="Arial"/>
          <w:szCs w:val="23"/>
          <w:lang w:val="en-GB" w:eastAsia="en-GB"/>
        </w:rPr>
        <w:t>AS</w:t>
      </w:r>
      <w:r>
        <w:rPr>
          <w:rFonts w:cs="Arial"/>
          <w:szCs w:val="23"/>
          <w:lang w:val="en-GB" w:eastAsia="en-GB"/>
        </w:rPr>
        <w:t xml:space="preserve"> comprises of the following </w:t>
      </w:r>
      <w:r>
        <w:rPr>
          <w:rFonts w:cs="Arial"/>
          <w:i/>
          <w:szCs w:val="23"/>
          <w:lang w:val="en-GB" w:eastAsia="en-GB"/>
        </w:rPr>
        <w:t>ex officio</w:t>
      </w:r>
      <w:r>
        <w:rPr>
          <w:rFonts w:cs="Arial"/>
          <w:szCs w:val="23"/>
          <w:lang w:val="en-GB" w:eastAsia="en-GB"/>
        </w:rPr>
        <w:t xml:space="preserve"> members:</w:t>
      </w:r>
    </w:p>
    <w:p w:rsidR="00130229" w:rsidRDefault="00130229">
      <w:pPr>
        <w:ind w:left="851" w:hanging="851"/>
        <w:rPr>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7"/>
        <w:gridCol w:w="6769"/>
      </w:tblGrid>
      <w:tr w:rsidR="00130229" w:rsidTr="00D34B4E">
        <w:tc>
          <w:tcPr>
            <w:tcW w:w="597" w:type="dxa"/>
            <w:shd w:val="clear" w:color="auto" w:fill="DBE5F1" w:themeFill="accent1" w:themeFillTint="33"/>
          </w:tcPr>
          <w:p w:rsidR="00130229" w:rsidRDefault="00130229">
            <w:pPr>
              <w:spacing w:before="60" w:after="0"/>
              <w:rPr>
                <w:sz w:val="18"/>
                <w:szCs w:val="18"/>
                <w:lang w:val="en-GB" w:eastAsia="en-GB"/>
              </w:rPr>
            </w:pPr>
          </w:p>
        </w:tc>
        <w:tc>
          <w:tcPr>
            <w:tcW w:w="6769" w:type="dxa"/>
            <w:shd w:val="clear" w:color="auto" w:fill="DBE5F1" w:themeFill="accent1" w:themeFillTint="33"/>
          </w:tcPr>
          <w:p w:rsidR="00130229" w:rsidRDefault="00B125C8">
            <w:pPr>
              <w:spacing w:before="60" w:after="0"/>
              <w:rPr>
                <w:b/>
                <w:sz w:val="18"/>
                <w:szCs w:val="18"/>
                <w:lang w:val="en-GB" w:eastAsia="en-GB"/>
              </w:rPr>
            </w:pPr>
            <w:r>
              <w:rPr>
                <w:b/>
                <w:sz w:val="18"/>
                <w:szCs w:val="18"/>
                <w:lang w:val="en-GB" w:eastAsia="en-GB"/>
              </w:rPr>
              <w:t>Chair</w:t>
            </w:r>
            <w:r w:rsidR="006C7DF7">
              <w:rPr>
                <w:b/>
                <w:sz w:val="18"/>
                <w:szCs w:val="18"/>
                <w:lang w:val="en-GB" w:eastAsia="en-GB"/>
              </w:rPr>
              <w:t>person</w:t>
            </w:r>
          </w:p>
        </w:tc>
      </w:tr>
      <w:tr w:rsidR="00130229" w:rsidTr="00D34B4E">
        <w:tc>
          <w:tcPr>
            <w:tcW w:w="597" w:type="dxa"/>
          </w:tcPr>
          <w:p w:rsidR="00130229" w:rsidRDefault="00B125C8">
            <w:pPr>
              <w:spacing w:before="60" w:after="0"/>
              <w:rPr>
                <w:sz w:val="18"/>
                <w:szCs w:val="18"/>
                <w:lang w:val="en-GB" w:eastAsia="en-GB"/>
              </w:rPr>
            </w:pPr>
            <w:r>
              <w:rPr>
                <w:sz w:val="18"/>
                <w:szCs w:val="18"/>
                <w:lang w:val="en-GB" w:eastAsia="en-GB"/>
              </w:rPr>
              <w:t>1.</w:t>
            </w:r>
          </w:p>
        </w:tc>
        <w:tc>
          <w:tcPr>
            <w:tcW w:w="6769" w:type="dxa"/>
          </w:tcPr>
          <w:p w:rsidR="00130229" w:rsidRDefault="00B125C8">
            <w:pPr>
              <w:spacing w:before="60" w:after="0"/>
              <w:rPr>
                <w:sz w:val="18"/>
                <w:szCs w:val="18"/>
                <w:lang w:val="en-GB" w:eastAsia="en-GB"/>
              </w:rPr>
            </w:pPr>
            <w:r>
              <w:rPr>
                <w:sz w:val="18"/>
                <w:szCs w:val="18"/>
                <w:lang w:val="en-GB"/>
              </w:rPr>
              <w:t>Deputy Vice-Chancellor: Teaching and Learning</w:t>
            </w:r>
          </w:p>
        </w:tc>
      </w:tr>
      <w:tr w:rsidR="00130229" w:rsidTr="00D34B4E">
        <w:tc>
          <w:tcPr>
            <w:tcW w:w="597" w:type="dxa"/>
            <w:shd w:val="clear" w:color="auto" w:fill="DBE5F1" w:themeFill="accent1" w:themeFillTint="33"/>
          </w:tcPr>
          <w:p w:rsidR="00130229" w:rsidRDefault="00130229">
            <w:pPr>
              <w:spacing w:before="60" w:after="0"/>
              <w:rPr>
                <w:b/>
                <w:sz w:val="18"/>
                <w:szCs w:val="18"/>
                <w:lang w:val="en-GB" w:eastAsia="en-GB"/>
              </w:rPr>
            </w:pPr>
          </w:p>
        </w:tc>
        <w:tc>
          <w:tcPr>
            <w:tcW w:w="6769" w:type="dxa"/>
            <w:shd w:val="clear" w:color="auto" w:fill="DBE5F1" w:themeFill="accent1" w:themeFillTint="33"/>
          </w:tcPr>
          <w:p w:rsidR="00130229" w:rsidRPr="00970AF2" w:rsidRDefault="00B125C8">
            <w:pPr>
              <w:spacing w:before="60" w:after="0"/>
              <w:rPr>
                <w:b/>
                <w:sz w:val="18"/>
                <w:szCs w:val="18"/>
                <w:lang w:val="en-GB" w:eastAsia="en-GB"/>
              </w:rPr>
            </w:pPr>
            <w:r>
              <w:rPr>
                <w:b/>
                <w:sz w:val="18"/>
                <w:szCs w:val="18"/>
                <w:lang w:val="en-GB" w:eastAsia="en-GB"/>
              </w:rPr>
              <w:t xml:space="preserve">Standing members </w:t>
            </w:r>
            <w:r>
              <w:rPr>
                <w:b/>
                <w:i/>
                <w:sz w:val="18"/>
                <w:szCs w:val="18"/>
                <w:lang w:val="en-GB" w:eastAsia="en-GB"/>
              </w:rPr>
              <w:t>ex officio</w:t>
            </w:r>
            <w:r w:rsidR="00970AF2">
              <w:rPr>
                <w:b/>
                <w:i/>
                <w:sz w:val="18"/>
                <w:szCs w:val="18"/>
                <w:lang w:val="en-GB" w:eastAsia="en-GB"/>
              </w:rPr>
              <w:t xml:space="preserve"> </w:t>
            </w:r>
            <w:r w:rsidR="00970AF2">
              <w:rPr>
                <w:b/>
                <w:sz w:val="18"/>
                <w:szCs w:val="18"/>
                <w:lang w:val="en-GB" w:eastAsia="en-GB"/>
              </w:rPr>
              <w:t>(part of approval workflow in SCAS system)</w:t>
            </w:r>
          </w:p>
        </w:tc>
      </w:tr>
      <w:tr w:rsidR="00970AF2" w:rsidTr="00D34B4E">
        <w:tc>
          <w:tcPr>
            <w:tcW w:w="597" w:type="dxa"/>
          </w:tcPr>
          <w:p w:rsidR="00970AF2" w:rsidRDefault="00970AF2" w:rsidP="00970AF2">
            <w:pPr>
              <w:spacing w:before="60" w:after="0"/>
              <w:rPr>
                <w:sz w:val="18"/>
                <w:szCs w:val="18"/>
                <w:lang w:val="en-GB" w:eastAsia="en-GB"/>
              </w:rPr>
            </w:pPr>
            <w:r>
              <w:t>2</w:t>
            </w:r>
            <w:r w:rsidRPr="00A165F0">
              <w:t>.</w:t>
            </w:r>
          </w:p>
        </w:tc>
        <w:tc>
          <w:tcPr>
            <w:tcW w:w="6769" w:type="dxa"/>
          </w:tcPr>
          <w:p w:rsidR="00970AF2" w:rsidRPr="00F110FB" w:rsidRDefault="00970AF2" w:rsidP="00970AF2">
            <w:pPr>
              <w:spacing w:before="60" w:after="0"/>
              <w:rPr>
                <w:sz w:val="18"/>
                <w:szCs w:val="18"/>
                <w:lang w:val="en-GB" w:eastAsia="en-GB"/>
              </w:rPr>
            </w:pPr>
            <w:r w:rsidRPr="00A165F0">
              <w:t>School Directors or Deputy School Directors responsible for a SCAS submission</w:t>
            </w:r>
          </w:p>
        </w:tc>
      </w:tr>
      <w:tr w:rsidR="00DE0E31" w:rsidTr="00D34B4E">
        <w:tc>
          <w:tcPr>
            <w:tcW w:w="597" w:type="dxa"/>
          </w:tcPr>
          <w:p w:rsidR="00DE0E31" w:rsidRDefault="002E48CF" w:rsidP="00970AF2">
            <w:pPr>
              <w:spacing w:before="60" w:after="0"/>
            </w:pPr>
            <w:r>
              <w:t>3.</w:t>
            </w:r>
          </w:p>
        </w:tc>
        <w:tc>
          <w:tcPr>
            <w:tcW w:w="6769" w:type="dxa"/>
          </w:tcPr>
          <w:p w:rsidR="00DE0E31" w:rsidRPr="00A165F0" w:rsidRDefault="00DE0E31" w:rsidP="00970AF2">
            <w:pPr>
              <w:spacing w:before="60" w:after="0"/>
            </w:pPr>
            <w:r>
              <w:t>Senior Faculty Administrator(s) (SALA)</w:t>
            </w:r>
          </w:p>
        </w:tc>
      </w:tr>
      <w:tr w:rsidR="00970AF2" w:rsidTr="00D34B4E">
        <w:tc>
          <w:tcPr>
            <w:tcW w:w="597" w:type="dxa"/>
          </w:tcPr>
          <w:p w:rsidR="00970AF2" w:rsidRDefault="002E48CF" w:rsidP="00744D57">
            <w:pPr>
              <w:spacing w:before="60" w:after="0"/>
              <w:rPr>
                <w:sz w:val="18"/>
                <w:szCs w:val="18"/>
                <w:lang w:val="en-GB" w:eastAsia="en-GB"/>
              </w:rPr>
            </w:pPr>
            <w:r>
              <w:rPr>
                <w:sz w:val="18"/>
                <w:szCs w:val="18"/>
                <w:lang w:val="en-GB" w:eastAsia="en-GB"/>
              </w:rPr>
              <w:t>4.</w:t>
            </w:r>
          </w:p>
        </w:tc>
        <w:tc>
          <w:tcPr>
            <w:tcW w:w="6769" w:type="dxa"/>
          </w:tcPr>
          <w:p w:rsidR="00970AF2" w:rsidRPr="00F110FB" w:rsidRDefault="00970AF2" w:rsidP="00705030">
            <w:pPr>
              <w:spacing w:before="60" w:after="0"/>
              <w:rPr>
                <w:sz w:val="18"/>
                <w:szCs w:val="18"/>
                <w:lang w:val="en-GB" w:eastAsia="en-GB"/>
              </w:rPr>
            </w:pPr>
            <w:r>
              <w:rPr>
                <w:sz w:val="18"/>
                <w:szCs w:val="18"/>
                <w:lang w:val="en-GB" w:eastAsia="en-GB"/>
              </w:rPr>
              <w:t>Deputy Deans Teaching and Learning</w:t>
            </w:r>
            <w:r w:rsidR="00AA4271">
              <w:rPr>
                <w:sz w:val="18"/>
                <w:szCs w:val="18"/>
                <w:lang w:val="en-GB" w:eastAsia="en-GB"/>
              </w:rPr>
              <w:t xml:space="preserve"> </w:t>
            </w:r>
            <w:r w:rsidR="005E1FAF">
              <w:rPr>
                <w:sz w:val="18"/>
                <w:szCs w:val="18"/>
                <w:lang w:val="en-GB" w:eastAsia="en-GB"/>
              </w:rPr>
              <w:t>and</w:t>
            </w:r>
            <w:r w:rsidR="00705030">
              <w:rPr>
                <w:sz w:val="18"/>
                <w:szCs w:val="18"/>
                <w:lang w:val="en-GB" w:eastAsia="en-GB"/>
              </w:rPr>
              <w:t>, where applicable, Deputy Deans</w:t>
            </w:r>
            <w:r w:rsidR="005E1FAF">
              <w:rPr>
                <w:sz w:val="18"/>
                <w:szCs w:val="18"/>
                <w:lang w:val="en-GB" w:eastAsia="en-GB"/>
              </w:rPr>
              <w:t xml:space="preserve"> Research</w:t>
            </w:r>
            <w:r w:rsidR="00705030">
              <w:rPr>
                <w:sz w:val="18"/>
                <w:szCs w:val="18"/>
                <w:lang w:val="en-GB" w:eastAsia="en-GB"/>
              </w:rPr>
              <w:t xml:space="preserve"> and Innovation</w:t>
            </w:r>
          </w:p>
        </w:tc>
      </w:tr>
      <w:tr w:rsidR="00130229" w:rsidTr="00D34B4E">
        <w:tc>
          <w:tcPr>
            <w:tcW w:w="597" w:type="dxa"/>
          </w:tcPr>
          <w:p w:rsidR="00130229" w:rsidRDefault="002E48CF">
            <w:pPr>
              <w:spacing w:before="60" w:after="0"/>
              <w:rPr>
                <w:sz w:val="18"/>
                <w:szCs w:val="18"/>
                <w:lang w:val="en-GB" w:eastAsia="en-GB"/>
              </w:rPr>
            </w:pPr>
            <w:r>
              <w:rPr>
                <w:sz w:val="18"/>
                <w:szCs w:val="18"/>
                <w:lang w:val="en-GB" w:eastAsia="en-GB"/>
              </w:rPr>
              <w:t>5.</w:t>
            </w:r>
          </w:p>
        </w:tc>
        <w:tc>
          <w:tcPr>
            <w:tcW w:w="6769" w:type="dxa"/>
          </w:tcPr>
          <w:p w:rsidR="00130229" w:rsidRDefault="00705030" w:rsidP="002E48CF">
            <w:pPr>
              <w:spacing w:before="60" w:after="0"/>
              <w:rPr>
                <w:sz w:val="18"/>
                <w:szCs w:val="18"/>
                <w:lang w:val="en-GB" w:eastAsia="en-GB"/>
              </w:rPr>
            </w:pPr>
            <w:r>
              <w:rPr>
                <w:sz w:val="18"/>
                <w:szCs w:val="18"/>
                <w:lang w:val="en-GB" w:eastAsia="en-GB"/>
              </w:rPr>
              <w:t xml:space="preserve">CTL </w:t>
            </w:r>
            <w:r w:rsidR="00D34B4E">
              <w:rPr>
                <w:sz w:val="18"/>
                <w:szCs w:val="18"/>
                <w:lang w:val="en-GB" w:eastAsia="en-GB"/>
              </w:rPr>
              <w:t>Director</w:t>
            </w:r>
            <w:r>
              <w:rPr>
                <w:sz w:val="18"/>
                <w:szCs w:val="18"/>
                <w:lang w:val="en-GB" w:eastAsia="en-GB"/>
              </w:rPr>
              <w:t xml:space="preserve">s: Faculty TL Support and, where applicable, Special Projects / CHEDR </w:t>
            </w:r>
            <w:r w:rsidR="002E48CF">
              <w:rPr>
                <w:sz w:val="18"/>
                <w:szCs w:val="18"/>
                <w:lang w:val="en-GB" w:eastAsia="en-GB"/>
              </w:rPr>
              <w:t>or</w:t>
            </w:r>
            <w:r w:rsidR="00744D57">
              <w:rPr>
                <w:sz w:val="18"/>
                <w:szCs w:val="18"/>
                <w:lang w:val="en-GB" w:eastAsia="en-GB"/>
              </w:rPr>
              <w:t xml:space="preserve"> a delegated functionary </w:t>
            </w:r>
          </w:p>
        </w:tc>
      </w:tr>
      <w:tr w:rsidR="00F734DC" w:rsidTr="00D34B4E">
        <w:tc>
          <w:tcPr>
            <w:tcW w:w="597" w:type="dxa"/>
          </w:tcPr>
          <w:p w:rsidR="00F734DC" w:rsidRDefault="002E48CF">
            <w:pPr>
              <w:spacing w:before="60" w:after="0"/>
              <w:rPr>
                <w:sz w:val="18"/>
                <w:szCs w:val="18"/>
                <w:lang w:val="en-GB" w:eastAsia="en-GB"/>
              </w:rPr>
            </w:pPr>
            <w:r>
              <w:rPr>
                <w:sz w:val="18"/>
                <w:szCs w:val="18"/>
                <w:lang w:val="en-GB" w:eastAsia="en-GB"/>
              </w:rPr>
              <w:t>6.</w:t>
            </w:r>
          </w:p>
        </w:tc>
        <w:tc>
          <w:tcPr>
            <w:tcW w:w="6769" w:type="dxa"/>
          </w:tcPr>
          <w:p w:rsidR="00F734DC" w:rsidRDefault="00F734DC">
            <w:pPr>
              <w:spacing w:before="60" w:after="0"/>
              <w:rPr>
                <w:sz w:val="18"/>
                <w:szCs w:val="18"/>
                <w:lang w:val="en-GB" w:eastAsia="en-GB"/>
              </w:rPr>
            </w:pPr>
            <w:r>
              <w:rPr>
                <w:sz w:val="18"/>
                <w:szCs w:val="18"/>
                <w:lang w:val="en-GB" w:eastAsia="en-GB"/>
              </w:rPr>
              <w:t>Director:  Qualifications and Academic Programme Planning</w:t>
            </w:r>
            <w:r w:rsidR="002E48CF">
              <w:rPr>
                <w:sz w:val="18"/>
                <w:szCs w:val="18"/>
                <w:lang w:val="en-GB" w:eastAsia="en-GB"/>
              </w:rPr>
              <w:t xml:space="preserve"> or Manager External Regulation</w:t>
            </w:r>
          </w:p>
        </w:tc>
      </w:tr>
      <w:tr w:rsidR="00744D57" w:rsidTr="00D34B4E">
        <w:tc>
          <w:tcPr>
            <w:tcW w:w="597" w:type="dxa"/>
          </w:tcPr>
          <w:p w:rsidR="00744D57" w:rsidRDefault="002E48CF">
            <w:pPr>
              <w:spacing w:before="60" w:after="0"/>
              <w:rPr>
                <w:sz w:val="18"/>
                <w:szCs w:val="18"/>
                <w:lang w:val="en-GB" w:eastAsia="en-GB"/>
              </w:rPr>
            </w:pPr>
            <w:r>
              <w:rPr>
                <w:sz w:val="18"/>
                <w:szCs w:val="18"/>
                <w:lang w:val="en-GB" w:eastAsia="en-GB"/>
              </w:rPr>
              <w:t>7.</w:t>
            </w:r>
          </w:p>
        </w:tc>
        <w:tc>
          <w:tcPr>
            <w:tcW w:w="6769" w:type="dxa"/>
          </w:tcPr>
          <w:p w:rsidR="00744D57" w:rsidRDefault="00744D57">
            <w:pPr>
              <w:spacing w:before="60" w:after="0"/>
              <w:rPr>
                <w:sz w:val="18"/>
                <w:szCs w:val="18"/>
                <w:lang w:val="en-GB" w:eastAsia="en-GB"/>
              </w:rPr>
            </w:pPr>
            <w:r>
              <w:rPr>
                <w:sz w:val="18"/>
                <w:szCs w:val="18"/>
                <w:lang w:val="en-GB" w:eastAsia="en-GB"/>
              </w:rPr>
              <w:t xml:space="preserve">Manager Student Administrative Systems </w:t>
            </w:r>
            <w:r w:rsidR="00970AF2" w:rsidRPr="00970AF2">
              <w:rPr>
                <w:sz w:val="18"/>
                <w:szCs w:val="18"/>
                <w:lang w:val="en-GB" w:eastAsia="en-GB"/>
              </w:rPr>
              <w:t>or a delegated functionary</w:t>
            </w:r>
          </w:p>
        </w:tc>
      </w:tr>
      <w:tr w:rsidR="00744D57" w:rsidTr="00D34B4E">
        <w:tc>
          <w:tcPr>
            <w:tcW w:w="597" w:type="dxa"/>
          </w:tcPr>
          <w:p w:rsidR="00744D57" w:rsidRDefault="002E48CF">
            <w:pPr>
              <w:spacing w:before="60" w:after="0"/>
              <w:rPr>
                <w:sz w:val="18"/>
                <w:szCs w:val="18"/>
                <w:lang w:val="en-GB" w:eastAsia="en-GB"/>
              </w:rPr>
            </w:pPr>
            <w:r>
              <w:rPr>
                <w:sz w:val="18"/>
                <w:szCs w:val="18"/>
                <w:lang w:val="en-GB" w:eastAsia="en-GB"/>
              </w:rPr>
              <w:t>8.</w:t>
            </w:r>
          </w:p>
        </w:tc>
        <w:tc>
          <w:tcPr>
            <w:tcW w:w="6769" w:type="dxa"/>
          </w:tcPr>
          <w:p w:rsidR="00744D57" w:rsidRDefault="00970AF2">
            <w:pPr>
              <w:spacing w:before="60" w:after="0"/>
              <w:rPr>
                <w:sz w:val="18"/>
                <w:szCs w:val="18"/>
                <w:lang w:val="en-GB" w:eastAsia="en-GB"/>
              </w:rPr>
            </w:pPr>
            <w:r>
              <w:rPr>
                <w:sz w:val="18"/>
                <w:szCs w:val="18"/>
                <w:lang w:val="en-GB" w:eastAsia="en-GB"/>
              </w:rPr>
              <w:t>Director Strategic Intelligence or a delegated functionary</w:t>
            </w:r>
          </w:p>
        </w:tc>
      </w:tr>
      <w:tr w:rsidR="00130229" w:rsidTr="00D34B4E">
        <w:tc>
          <w:tcPr>
            <w:tcW w:w="597" w:type="dxa"/>
            <w:shd w:val="clear" w:color="auto" w:fill="DBE5F1" w:themeFill="accent1" w:themeFillTint="33"/>
          </w:tcPr>
          <w:p w:rsidR="00130229" w:rsidRDefault="00130229">
            <w:pPr>
              <w:spacing w:before="60" w:after="0"/>
              <w:rPr>
                <w:sz w:val="18"/>
                <w:szCs w:val="18"/>
                <w:lang w:val="en-GB" w:eastAsia="en-GB"/>
              </w:rPr>
            </w:pPr>
          </w:p>
        </w:tc>
        <w:tc>
          <w:tcPr>
            <w:tcW w:w="6769" w:type="dxa"/>
            <w:shd w:val="clear" w:color="auto" w:fill="DBE5F1" w:themeFill="accent1" w:themeFillTint="33"/>
          </w:tcPr>
          <w:p w:rsidR="00130229" w:rsidRDefault="00B125C8">
            <w:pPr>
              <w:spacing w:before="60" w:after="0"/>
              <w:rPr>
                <w:b/>
                <w:sz w:val="18"/>
                <w:szCs w:val="18"/>
                <w:lang w:val="en-GB" w:eastAsia="en-GB"/>
              </w:rPr>
            </w:pPr>
            <w:r>
              <w:rPr>
                <w:b/>
                <w:sz w:val="18"/>
                <w:szCs w:val="18"/>
                <w:lang w:val="en-GB" w:eastAsia="en-GB"/>
              </w:rPr>
              <w:t>In Attendance</w:t>
            </w:r>
            <w:r w:rsidR="00970AF2">
              <w:rPr>
                <w:b/>
                <w:sz w:val="18"/>
                <w:szCs w:val="18"/>
                <w:lang w:val="en-GB" w:eastAsia="en-GB"/>
              </w:rPr>
              <w:t xml:space="preserve"> at SCAS meetings</w:t>
            </w:r>
          </w:p>
        </w:tc>
      </w:tr>
      <w:tr w:rsidR="00130229" w:rsidTr="00D34B4E">
        <w:tc>
          <w:tcPr>
            <w:tcW w:w="597" w:type="dxa"/>
          </w:tcPr>
          <w:p w:rsidR="00130229" w:rsidRDefault="006C7DF7">
            <w:pPr>
              <w:spacing w:before="60" w:after="0"/>
              <w:rPr>
                <w:sz w:val="18"/>
                <w:szCs w:val="18"/>
                <w:lang w:val="en-GB" w:eastAsia="en-GB"/>
              </w:rPr>
            </w:pPr>
            <w:r>
              <w:rPr>
                <w:sz w:val="18"/>
                <w:szCs w:val="18"/>
                <w:lang w:val="en-GB" w:eastAsia="en-GB"/>
              </w:rPr>
              <w:t>8</w:t>
            </w:r>
            <w:r w:rsidR="00B125C8">
              <w:rPr>
                <w:sz w:val="18"/>
                <w:szCs w:val="18"/>
                <w:lang w:val="en-GB" w:eastAsia="en-GB"/>
              </w:rPr>
              <w:t>.</w:t>
            </w:r>
          </w:p>
        </w:tc>
        <w:tc>
          <w:tcPr>
            <w:tcW w:w="6769" w:type="dxa"/>
          </w:tcPr>
          <w:p w:rsidR="00130229" w:rsidRDefault="00970AF2">
            <w:pPr>
              <w:spacing w:before="60" w:after="0"/>
              <w:rPr>
                <w:sz w:val="18"/>
                <w:szCs w:val="18"/>
                <w:lang w:val="en-GB" w:eastAsia="en-GB"/>
              </w:rPr>
            </w:pPr>
            <w:r>
              <w:rPr>
                <w:sz w:val="18"/>
                <w:szCs w:val="18"/>
                <w:lang w:val="en-GB" w:eastAsia="en-GB"/>
              </w:rPr>
              <w:t>Chief Director: Library and Information Services or a delegated functionary</w:t>
            </w:r>
          </w:p>
        </w:tc>
      </w:tr>
      <w:tr w:rsidR="00970AF2" w:rsidTr="00D34B4E">
        <w:tc>
          <w:tcPr>
            <w:tcW w:w="597" w:type="dxa"/>
          </w:tcPr>
          <w:p w:rsidR="00970AF2" w:rsidRDefault="006C7DF7">
            <w:pPr>
              <w:spacing w:before="60" w:after="0"/>
              <w:rPr>
                <w:sz w:val="18"/>
                <w:szCs w:val="18"/>
                <w:lang w:val="en-GB" w:eastAsia="en-GB"/>
              </w:rPr>
            </w:pPr>
            <w:r>
              <w:rPr>
                <w:sz w:val="18"/>
                <w:szCs w:val="18"/>
                <w:lang w:val="en-GB" w:eastAsia="en-GB"/>
              </w:rPr>
              <w:t>9</w:t>
            </w:r>
            <w:r w:rsidR="00970AF2">
              <w:rPr>
                <w:sz w:val="18"/>
                <w:szCs w:val="18"/>
                <w:lang w:val="en-GB" w:eastAsia="en-GB"/>
              </w:rPr>
              <w:t>.</w:t>
            </w:r>
          </w:p>
        </w:tc>
        <w:tc>
          <w:tcPr>
            <w:tcW w:w="6769" w:type="dxa"/>
          </w:tcPr>
          <w:p w:rsidR="00970AF2" w:rsidRDefault="00970AF2">
            <w:pPr>
              <w:spacing w:before="60" w:after="0"/>
              <w:rPr>
                <w:sz w:val="18"/>
                <w:szCs w:val="18"/>
                <w:lang w:val="en-GB" w:eastAsia="en-GB"/>
              </w:rPr>
            </w:pPr>
            <w:r>
              <w:rPr>
                <w:sz w:val="18"/>
                <w:szCs w:val="18"/>
                <w:lang w:val="en-GB" w:eastAsia="en-GB"/>
              </w:rPr>
              <w:t>Director: Information Technology or a delegated functionary</w:t>
            </w:r>
          </w:p>
        </w:tc>
      </w:tr>
      <w:tr w:rsidR="00970AF2" w:rsidTr="00D34B4E">
        <w:tc>
          <w:tcPr>
            <w:tcW w:w="597" w:type="dxa"/>
          </w:tcPr>
          <w:p w:rsidR="00970AF2" w:rsidRDefault="00970AF2">
            <w:pPr>
              <w:spacing w:before="60" w:after="0"/>
              <w:rPr>
                <w:sz w:val="18"/>
                <w:szCs w:val="18"/>
                <w:lang w:val="en-GB" w:eastAsia="en-GB"/>
              </w:rPr>
            </w:pPr>
            <w:r>
              <w:rPr>
                <w:sz w:val="18"/>
                <w:szCs w:val="18"/>
                <w:lang w:val="en-GB" w:eastAsia="en-GB"/>
              </w:rPr>
              <w:t>1</w:t>
            </w:r>
            <w:r w:rsidR="006C7DF7">
              <w:rPr>
                <w:sz w:val="18"/>
                <w:szCs w:val="18"/>
                <w:lang w:val="en-GB" w:eastAsia="en-GB"/>
              </w:rPr>
              <w:t>0</w:t>
            </w:r>
            <w:r>
              <w:rPr>
                <w:sz w:val="18"/>
                <w:szCs w:val="18"/>
                <w:lang w:val="en-GB" w:eastAsia="en-GB"/>
              </w:rPr>
              <w:t>.</w:t>
            </w:r>
          </w:p>
        </w:tc>
        <w:tc>
          <w:tcPr>
            <w:tcW w:w="6769" w:type="dxa"/>
          </w:tcPr>
          <w:p w:rsidR="00970AF2" w:rsidRDefault="00970AF2" w:rsidP="00970AF2">
            <w:pPr>
              <w:spacing w:before="60" w:after="0"/>
              <w:rPr>
                <w:sz w:val="18"/>
                <w:szCs w:val="18"/>
                <w:lang w:val="en-GB" w:eastAsia="en-GB"/>
              </w:rPr>
            </w:pPr>
            <w:r>
              <w:rPr>
                <w:sz w:val="18"/>
                <w:szCs w:val="18"/>
                <w:lang w:val="en-GB" w:eastAsia="en-GB"/>
              </w:rPr>
              <w:t>Director: Financial Planning or a delegated functionary</w:t>
            </w:r>
          </w:p>
        </w:tc>
      </w:tr>
      <w:tr w:rsidR="00970AF2" w:rsidTr="00D34B4E">
        <w:tc>
          <w:tcPr>
            <w:tcW w:w="597" w:type="dxa"/>
          </w:tcPr>
          <w:p w:rsidR="00970AF2" w:rsidRDefault="00970AF2" w:rsidP="006C7DF7">
            <w:pPr>
              <w:spacing w:before="60" w:after="0"/>
              <w:rPr>
                <w:sz w:val="18"/>
                <w:szCs w:val="18"/>
                <w:lang w:val="en-GB" w:eastAsia="en-GB"/>
              </w:rPr>
            </w:pPr>
            <w:r>
              <w:rPr>
                <w:sz w:val="18"/>
                <w:szCs w:val="18"/>
                <w:lang w:val="en-GB" w:eastAsia="en-GB"/>
              </w:rPr>
              <w:t>1</w:t>
            </w:r>
            <w:r w:rsidR="006C7DF7">
              <w:rPr>
                <w:sz w:val="18"/>
                <w:szCs w:val="18"/>
                <w:lang w:val="en-GB" w:eastAsia="en-GB"/>
              </w:rPr>
              <w:t>1</w:t>
            </w:r>
            <w:r>
              <w:rPr>
                <w:sz w:val="18"/>
                <w:szCs w:val="18"/>
                <w:lang w:val="en-GB" w:eastAsia="en-GB"/>
              </w:rPr>
              <w:t>.</w:t>
            </w:r>
          </w:p>
        </w:tc>
        <w:tc>
          <w:tcPr>
            <w:tcW w:w="6769" w:type="dxa"/>
          </w:tcPr>
          <w:p w:rsidR="00970AF2" w:rsidRDefault="00970AF2" w:rsidP="00970AF2">
            <w:pPr>
              <w:spacing w:before="60" w:after="0"/>
              <w:rPr>
                <w:sz w:val="18"/>
                <w:szCs w:val="18"/>
                <w:lang w:val="en-GB" w:eastAsia="en-GB"/>
              </w:rPr>
            </w:pPr>
            <w:r>
              <w:rPr>
                <w:sz w:val="18"/>
                <w:szCs w:val="18"/>
                <w:lang w:val="en-GB" w:eastAsia="en-GB"/>
              </w:rPr>
              <w:t>Director: Facilities or a delegated functionary</w:t>
            </w:r>
          </w:p>
        </w:tc>
      </w:tr>
      <w:tr w:rsidR="00970AF2" w:rsidTr="00D34B4E">
        <w:tc>
          <w:tcPr>
            <w:tcW w:w="597" w:type="dxa"/>
          </w:tcPr>
          <w:p w:rsidR="00970AF2" w:rsidRDefault="00970AF2">
            <w:pPr>
              <w:spacing w:before="60" w:after="0"/>
              <w:rPr>
                <w:sz w:val="18"/>
                <w:szCs w:val="18"/>
                <w:lang w:val="en-GB" w:eastAsia="en-GB"/>
              </w:rPr>
            </w:pPr>
            <w:r>
              <w:rPr>
                <w:sz w:val="18"/>
                <w:szCs w:val="18"/>
                <w:lang w:val="en-GB" w:eastAsia="en-GB"/>
              </w:rPr>
              <w:t>1</w:t>
            </w:r>
            <w:r w:rsidR="006C7DF7">
              <w:rPr>
                <w:sz w:val="18"/>
                <w:szCs w:val="18"/>
                <w:lang w:val="en-GB" w:eastAsia="en-GB"/>
              </w:rPr>
              <w:t>2</w:t>
            </w:r>
            <w:r>
              <w:rPr>
                <w:sz w:val="18"/>
                <w:szCs w:val="18"/>
                <w:lang w:val="en-GB" w:eastAsia="en-GB"/>
              </w:rPr>
              <w:t>.</w:t>
            </w:r>
          </w:p>
        </w:tc>
        <w:tc>
          <w:tcPr>
            <w:tcW w:w="6769" w:type="dxa"/>
          </w:tcPr>
          <w:p w:rsidR="00970AF2" w:rsidRDefault="00A0574B" w:rsidP="00970AF2">
            <w:pPr>
              <w:spacing w:before="60" w:after="0"/>
              <w:rPr>
                <w:sz w:val="18"/>
                <w:szCs w:val="18"/>
                <w:lang w:val="en-GB" w:eastAsia="en-GB"/>
              </w:rPr>
            </w:pPr>
            <w:r>
              <w:rPr>
                <w:sz w:val="18"/>
                <w:szCs w:val="18"/>
                <w:lang w:val="en-GB" w:eastAsia="en-GB"/>
              </w:rPr>
              <w:t>Director: Student recruitment and marketing or a delegated functionary</w:t>
            </w:r>
          </w:p>
        </w:tc>
      </w:tr>
      <w:tr w:rsidR="005912E6" w:rsidTr="00D34B4E">
        <w:tc>
          <w:tcPr>
            <w:tcW w:w="597" w:type="dxa"/>
          </w:tcPr>
          <w:p w:rsidR="005912E6" w:rsidRDefault="005912E6">
            <w:pPr>
              <w:spacing w:before="60" w:after="0"/>
              <w:rPr>
                <w:sz w:val="18"/>
                <w:szCs w:val="18"/>
                <w:lang w:val="en-GB" w:eastAsia="en-GB"/>
              </w:rPr>
            </w:pPr>
            <w:r>
              <w:rPr>
                <w:sz w:val="18"/>
                <w:szCs w:val="18"/>
                <w:lang w:val="en-GB" w:eastAsia="en-GB"/>
              </w:rPr>
              <w:t>13.</w:t>
            </w:r>
          </w:p>
        </w:tc>
        <w:tc>
          <w:tcPr>
            <w:tcW w:w="6769" w:type="dxa"/>
          </w:tcPr>
          <w:p w:rsidR="005912E6" w:rsidRDefault="005912E6" w:rsidP="00970AF2">
            <w:pPr>
              <w:spacing w:before="60" w:after="0"/>
              <w:rPr>
                <w:sz w:val="18"/>
                <w:szCs w:val="18"/>
                <w:lang w:val="en-GB" w:eastAsia="en-GB"/>
              </w:rPr>
            </w:pPr>
            <w:r>
              <w:rPr>
                <w:sz w:val="18"/>
                <w:szCs w:val="18"/>
                <w:lang w:val="en-GB" w:eastAsia="en-GB"/>
              </w:rPr>
              <w:t>Director:  Quality Enhancement</w:t>
            </w:r>
          </w:p>
        </w:tc>
      </w:tr>
    </w:tbl>
    <w:p w:rsidR="00130229" w:rsidRDefault="00130229">
      <w:pPr>
        <w:ind w:left="851" w:hanging="851"/>
        <w:rPr>
          <w:lang w:val="en-GB"/>
        </w:rPr>
      </w:pPr>
    </w:p>
    <w:p w:rsidR="00130229" w:rsidRDefault="00B125C8">
      <w:pPr>
        <w:pStyle w:val="Heading2"/>
        <w:numPr>
          <w:ilvl w:val="1"/>
          <w:numId w:val="1"/>
        </w:numPr>
        <w:ind w:left="578" w:hanging="578"/>
        <w:rPr>
          <w:rFonts w:cs="Times New Roman"/>
          <w:sz w:val="20"/>
          <w:szCs w:val="20"/>
          <w:lang w:val="en-GB"/>
        </w:rPr>
      </w:pPr>
      <w:r>
        <w:rPr>
          <w:lang w:val="en-GB"/>
        </w:rPr>
        <w:t>Appointment of Chairperson and acting Chairperson</w:t>
      </w:r>
    </w:p>
    <w:p w:rsidR="00130229" w:rsidRDefault="00B125C8">
      <w:pPr>
        <w:autoSpaceDE w:val="0"/>
        <w:autoSpaceDN w:val="0"/>
        <w:adjustRightInd w:val="0"/>
        <w:ind w:left="567"/>
        <w:rPr>
          <w:rFonts w:cs="Arial"/>
          <w:lang w:val="en-GB" w:eastAsia="en-GB"/>
        </w:rPr>
      </w:pPr>
      <w:r>
        <w:rPr>
          <w:rFonts w:cs="Arial"/>
          <w:lang w:val="en-GB" w:eastAsia="en-GB"/>
        </w:rPr>
        <w:t>The Deputy Vice-Chancellor: Teaching and Learning is the chair</w:t>
      </w:r>
      <w:r w:rsidR="00314D66">
        <w:rPr>
          <w:rFonts w:cs="Arial"/>
          <w:lang w:val="en-GB" w:eastAsia="en-GB"/>
        </w:rPr>
        <w:t>person</w:t>
      </w:r>
      <w:r>
        <w:rPr>
          <w:rFonts w:cs="Arial"/>
          <w:lang w:val="en-GB" w:eastAsia="en-GB"/>
        </w:rPr>
        <w:t xml:space="preserve"> of the SCTL.</w:t>
      </w:r>
    </w:p>
    <w:p w:rsidR="00130229" w:rsidRDefault="00B125C8">
      <w:pPr>
        <w:autoSpaceDE w:val="0"/>
        <w:autoSpaceDN w:val="0"/>
        <w:adjustRightInd w:val="0"/>
        <w:ind w:left="567"/>
        <w:rPr>
          <w:rFonts w:cs="Arial"/>
          <w:lang w:val="en-GB" w:eastAsia="en-GB"/>
        </w:rPr>
      </w:pPr>
      <w:r>
        <w:rPr>
          <w:rFonts w:cs="Arial"/>
          <w:lang w:val="en-GB" w:eastAsia="en-GB"/>
        </w:rPr>
        <w:t>In the absence of the</w:t>
      </w:r>
      <w:r w:rsidR="00D34B4E">
        <w:rPr>
          <w:rFonts w:cs="Arial"/>
          <w:lang w:val="en-GB" w:eastAsia="en-GB"/>
        </w:rPr>
        <w:t xml:space="preserve"> </w:t>
      </w:r>
      <w:r>
        <w:rPr>
          <w:rFonts w:cs="Arial"/>
          <w:lang w:val="en-GB" w:eastAsia="en-GB"/>
        </w:rPr>
        <w:t xml:space="preserve">Chair, the </w:t>
      </w:r>
      <w:r w:rsidR="008F539E">
        <w:rPr>
          <w:rFonts w:cs="Arial"/>
          <w:lang w:val="en-GB" w:eastAsia="en-GB"/>
        </w:rPr>
        <w:t>Chair will appoint an Acting Chairperson.</w:t>
      </w:r>
    </w:p>
    <w:p w:rsidR="00130229" w:rsidRDefault="00B125C8">
      <w:pPr>
        <w:pStyle w:val="Heading2"/>
        <w:numPr>
          <w:ilvl w:val="1"/>
          <w:numId w:val="1"/>
        </w:numPr>
        <w:ind w:left="578" w:hanging="578"/>
        <w:rPr>
          <w:lang w:val="en-GB"/>
        </w:rPr>
      </w:pPr>
      <w:r>
        <w:rPr>
          <w:lang w:val="en-GB"/>
        </w:rPr>
        <w:t>Voting rights of members</w:t>
      </w:r>
    </w:p>
    <w:p w:rsidR="00130229" w:rsidRDefault="00B125C8">
      <w:pPr>
        <w:ind w:left="567"/>
        <w:rPr>
          <w:color w:val="000000" w:themeColor="text1"/>
          <w:lang w:val="en-GB"/>
        </w:rPr>
      </w:pPr>
      <w:r>
        <w:rPr>
          <w:color w:val="000000" w:themeColor="text1"/>
          <w:lang w:val="en-GB"/>
        </w:rPr>
        <w:t xml:space="preserve">All standing members have voting rights. </w:t>
      </w:r>
      <w:r w:rsidR="00A0574B">
        <w:rPr>
          <w:color w:val="000000" w:themeColor="text1"/>
          <w:lang w:val="en-GB"/>
        </w:rPr>
        <w:t>Members in attendance</w:t>
      </w:r>
      <w:r>
        <w:rPr>
          <w:color w:val="000000" w:themeColor="text1"/>
          <w:lang w:val="en-GB"/>
        </w:rPr>
        <w:t xml:space="preserve">, observers and visitors </w:t>
      </w:r>
      <w:r w:rsidR="006905CB">
        <w:rPr>
          <w:color w:val="000000" w:themeColor="text1"/>
          <w:lang w:val="en-GB"/>
        </w:rPr>
        <w:t xml:space="preserve">at SCAS meetings </w:t>
      </w:r>
      <w:r>
        <w:rPr>
          <w:color w:val="000000" w:themeColor="text1"/>
          <w:lang w:val="en-GB"/>
        </w:rPr>
        <w:t>will not have voting rights.</w:t>
      </w:r>
    </w:p>
    <w:p w:rsidR="00130229" w:rsidRDefault="00B125C8">
      <w:pPr>
        <w:pStyle w:val="Heading2"/>
        <w:numPr>
          <w:ilvl w:val="1"/>
          <w:numId w:val="1"/>
        </w:numPr>
        <w:ind w:left="578" w:hanging="578"/>
        <w:rPr>
          <w:lang w:val="en-GB"/>
        </w:rPr>
      </w:pPr>
      <w:r>
        <w:rPr>
          <w:lang w:val="en-GB"/>
        </w:rPr>
        <w:t>Secretariat</w:t>
      </w:r>
    </w:p>
    <w:p w:rsidR="00130229" w:rsidRDefault="00B125C8">
      <w:pPr>
        <w:ind w:left="567"/>
        <w:rPr>
          <w:lang w:val="en-GB"/>
        </w:rPr>
      </w:pPr>
      <w:r>
        <w:rPr>
          <w:color w:val="000000" w:themeColor="text1"/>
          <w:lang w:val="en-GB"/>
        </w:rPr>
        <w:t xml:space="preserve">Secretariat services are provided by </w:t>
      </w:r>
      <w:r w:rsidR="008F539E">
        <w:rPr>
          <w:color w:val="000000" w:themeColor="text1"/>
          <w:lang w:val="en-GB"/>
        </w:rPr>
        <w:t>the SCAS Administrator</w:t>
      </w:r>
      <w:r>
        <w:rPr>
          <w:color w:val="000000" w:themeColor="text1"/>
          <w:lang w:val="en-GB"/>
        </w:rPr>
        <w:t xml:space="preserve">. </w:t>
      </w:r>
    </w:p>
    <w:p w:rsidR="00130229" w:rsidRDefault="00B125C8" w:rsidP="00C444B1">
      <w:pPr>
        <w:pStyle w:val="Heading1"/>
        <w:numPr>
          <w:ilvl w:val="0"/>
          <w:numId w:val="40"/>
        </w:numPr>
        <w:rPr>
          <w:lang w:val="en-GB"/>
        </w:rPr>
      </w:pPr>
      <w:r>
        <w:rPr>
          <w:lang w:val="en-GB"/>
        </w:rPr>
        <w:t>Meeting arrangements</w:t>
      </w:r>
    </w:p>
    <w:p w:rsidR="00130229" w:rsidRDefault="00B125C8">
      <w:pPr>
        <w:ind w:left="426"/>
        <w:rPr>
          <w:lang w:val="en-GB"/>
        </w:rPr>
      </w:pPr>
      <w:r>
        <w:rPr>
          <w:lang w:val="en-GB"/>
        </w:rPr>
        <w:t>The following meeting arrangements apply:</w:t>
      </w: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67"/>
        <w:gridCol w:w="7128"/>
      </w:tblGrid>
      <w:tr w:rsidR="00130229">
        <w:tc>
          <w:tcPr>
            <w:tcW w:w="1967" w:type="dxa"/>
          </w:tcPr>
          <w:p w:rsidR="00130229" w:rsidRPr="00D34B4E" w:rsidRDefault="00B125C8">
            <w:pPr>
              <w:spacing w:before="120" w:after="0"/>
              <w:jc w:val="left"/>
              <w:rPr>
                <w:rFonts w:ascii="Arial Narrow" w:hAnsi="Arial Narrow"/>
                <w:b/>
                <w:color w:val="000000" w:themeColor="text1"/>
                <w:lang w:val="en-GB"/>
              </w:rPr>
            </w:pPr>
            <w:r w:rsidRPr="00D34B4E">
              <w:rPr>
                <w:rFonts w:ascii="Arial Narrow" w:hAnsi="Arial Narrow"/>
                <w:b/>
                <w:color w:val="000000" w:themeColor="text1"/>
                <w:lang w:val="en-GB"/>
              </w:rPr>
              <w:t>Frequency</w:t>
            </w:r>
          </w:p>
        </w:tc>
        <w:tc>
          <w:tcPr>
            <w:tcW w:w="7128" w:type="dxa"/>
          </w:tcPr>
          <w:p w:rsidR="00130229" w:rsidRPr="00D34B4E" w:rsidRDefault="00B125C8" w:rsidP="007500E1">
            <w:pPr>
              <w:spacing w:before="120" w:after="0"/>
              <w:jc w:val="left"/>
              <w:rPr>
                <w:rFonts w:ascii="Arial Narrow" w:hAnsi="Arial Narrow"/>
                <w:color w:val="000000" w:themeColor="text1"/>
                <w:lang w:val="en-GB"/>
              </w:rPr>
            </w:pPr>
            <w:r w:rsidRPr="00D34B4E">
              <w:rPr>
                <w:rFonts w:ascii="Arial Narrow" w:hAnsi="Arial Narrow"/>
                <w:color w:val="000000" w:themeColor="text1"/>
                <w:lang w:val="en-GB"/>
              </w:rPr>
              <w:t>SC</w:t>
            </w:r>
            <w:r w:rsidR="00A0574B">
              <w:rPr>
                <w:rFonts w:ascii="Arial Narrow" w:hAnsi="Arial Narrow"/>
                <w:color w:val="000000" w:themeColor="text1"/>
                <w:lang w:val="en-GB"/>
              </w:rPr>
              <w:t>AS</w:t>
            </w:r>
            <w:r w:rsidRPr="00D34B4E">
              <w:rPr>
                <w:rFonts w:ascii="Arial Narrow" w:hAnsi="Arial Narrow"/>
                <w:color w:val="000000" w:themeColor="text1"/>
                <w:lang w:val="en-GB"/>
              </w:rPr>
              <w:t xml:space="preserve"> meets at least </w:t>
            </w:r>
            <w:r w:rsidR="00D34B4E">
              <w:rPr>
                <w:rFonts w:ascii="Arial Narrow" w:hAnsi="Arial Narrow"/>
                <w:color w:val="000000" w:themeColor="text1"/>
                <w:lang w:val="en-GB"/>
              </w:rPr>
              <w:t xml:space="preserve">twice </w:t>
            </w:r>
            <w:r w:rsidR="00A0574B">
              <w:rPr>
                <w:rFonts w:ascii="Arial Narrow" w:hAnsi="Arial Narrow"/>
                <w:color w:val="000000" w:themeColor="text1"/>
                <w:lang w:val="en-GB"/>
              </w:rPr>
              <w:t>annually</w:t>
            </w:r>
            <w:r w:rsidRPr="00D34B4E">
              <w:rPr>
                <w:rFonts w:ascii="Arial Narrow" w:hAnsi="Arial Narrow"/>
                <w:color w:val="000000" w:themeColor="text1"/>
                <w:lang w:val="en-GB"/>
              </w:rPr>
              <w:t xml:space="preserve">, meetings are scheduled to </w:t>
            </w:r>
            <w:r w:rsidR="007500E1">
              <w:rPr>
                <w:rFonts w:ascii="Arial Narrow" w:hAnsi="Arial Narrow"/>
                <w:color w:val="000000" w:themeColor="text1"/>
                <w:lang w:val="en-GB"/>
              </w:rPr>
              <w:t>report to</w:t>
            </w:r>
            <w:r w:rsidRPr="00D34B4E">
              <w:rPr>
                <w:rFonts w:ascii="Arial Narrow" w:hAnsi="Arial Narrow"/>
                <w:color w:val="000000" w:themeColor="text1"/>
                <w:lang w:val="en-GB"/>
              </w:rPr>
              <w:t xml:space="preserve"> Senate meetings.</w:t>
            </w:r>
          </w:p>
        </w:tc>
      </w:tr>
      <w:tr w:rsidR="00130229">
        <w:tc>
          <w:tcPr>
            <w:tcW w:w="1967" w:type="dxa"/>
          </w:tcPr>
          <w:p w:rsidR="00130229" w:rsidRPr="00D34B4E" w:rsidRDefault="00B125C8">
            <w:pPr>
              <w:spacing w:before="120" w:after="0"/>
              <w:jc w:val="left"/>
              <w:rPr>
                <w:rFonts w:ascii="Arial Narrow" w:hAnsi="Arial Narrow"/>
                <w:b/>
                <w:color w:val="000000" w:themeColor="text1"/>
                <w:lang w:val="en-GB"/>
              </w:rPr>
            </w:pPr>
            <w:r w:rsidRPr="00D34B4E">
              <w:rPr>
                <w:rFonts w:ascii="Arial Narrow" w:hAnsi="Arial Narrow"/>
                <w:b/>
                <w:color w:val="000000" w:themeColor="text1"/>
                <w:lang w:val="en-GB"/>
              </w:rPr>
              <w:t>Extraordinary meetings</w:t>
            </w:r>
          </w:p>
        </w:tc>
        <w:tc>
          <w:tcPr>
            <w:tcW w:w="7128" w:type="dxa"/>
          </w:tcPr>
          <w:p w:rsidR="00130229" w:rsidRPr="00D34B4E" w:rsidRDefault="00B125C8" w:rsidP="007500E1">
            <w:pPr>
              <w:spacing w:before="120" w:after="0"/>
              <w:jc w:val="left"/>
              <w:rPr>
                <w:rFonts w:ascii="Arial Narrow" w:hAnsi="Arial Narrow"/>
                <w:color w:val="000000" w:themeColor="text1"/>
                <w:lang w:val="en-GB"/>
              </w:rPr>
            </w:pPr>
            <w:r w:rsidRPr="00D34B4E">
              <w:rPr>
                <w:rFonts w:ascii="Arial Narrow" w:hAnsi="Arial Narrow" w:cs="Arial"/>
                <w:color w:val="000000" w:themeColor="text1"/>
                <w:lang w:val="en-GB"/>
              </w:rPr>
              <w:t>An extraordinary meeting may be called when deemed to be necessary by the Chairperson.</w:t>
            </w:r>
          </w:p>
        </w:tc>
      </w:tr>
      <w:tr w:rsidR="00130229">
        <w:tc>
          <w:tcPr>
            <w:tcW w:w="1967" w:type="dxa"/>
          </w:tcPr>
          <w:p w:rsidR="00130229" w:rsidRPr="00D34B4E" w:rsidRDefault="00B125C8">
            <w:pPr>
              <w:spacing w:before="120" w:after="0"/>
              <w:jc w:val="left"/>
              <w:rPr>
                <w:rFonts w:ascii="Arial Narrow" w:hAnsi="Arial Narrow"/>
                <w:b/>
                <w:color w:val="000000" w:themeColor="text1"/>
                <w:lang w:val="en-GB"/>
              </w:rPr>
            </w:pPr>
            <w:r w:rsidRPr="00D34B4E">
              <w:rPr>
                <w:rFonts w:ascii="Arial Narrow" w:hAnsi="Arial Narrow"/>
                <w:b/>
                <w:color w:val="000000" w:themeColor="text1"/>
                <w:lang w:val="en-GB"/>
              </w:rPr>
              <w:t>Quorum</w:t>
            </w:r>
          </w:p>
        </w:tc>
        <w:tc>
          <w:tcPr>
            <w:tcW w:w="7128" w:type="dxa"/>
          </w:tcPr>
          <w:p w:rsidR="00130229" w:rsidRPr="00D34B4E" w:rsidRDefault="00B125C8" w:rsidP="00A0574B">
            <w:pPr>
              <w:spacing w:before="120" w:after="0"/>
              <w:rPr>
                <w:rFonts w:ascii="Arial Narrow" w:hAnsi="Arial Narrow"/>
                <w:color w:val="000000" w:themeColor="text1"/>
                <w:lang w:val="en-GB"/>
              </w:rPr>
            </w:pPr>
            <w:r w:rsidRPr="00D34B4E">
              <w:rPr>
                <w:rFonts w:ascii="Arial Narrow" w:hAnsi="Arial Narrow"/>
                <w:color w:val="000000" w:themeColor="text1"/>
                <w:lang w:val="en-GB"/>
              </w:rPr>
              <w:t>The quorum of the meeting will be half (50%</w:t>
            </w:r>
            <w:r w:rsidR="00A0574B">
              <w:rPr>
                <w:rFonts w:ascii="Arial Narrow" w:hAnsi="Arial Narrow"/>
                <w:color w:val="000000" w:themeColor="text1"/>
                <w:lang w:val="en-GB"/>
              </w:rPr>
              <w:t>) plus one of all the members</w:t>
            </w:r>
            <w:r w:rsidRPr="00D34B4E">
              <w:rPr>
                <w:rFonts w:ascii="Arial Narrow" w:hAnsi="Arial Narrow"/>
                <w:color w:val="000000" w:themeColor="text1"/>
                <w:lang w:val="en-GB"/>
              </w:rPr>
              <w:t>.</w:t>
            </w:r>
          </w:p>
        </w:tc>
      </w:tr>
      <w:tr w:rsidR="00130229">
        <w:tc>
          <w:tcPr>
            <w:tcW w:w="1967" w:type="dxa"/>
          </w:tcPr>
          <w:p w:rsidR="00130229" w:rsidRPr="00D34B4E" w:rsidRDefault="00B125C8">
            <w:pPr>
              <w:spacing w:before="120" w:after="0"/>
              <w:jc w:val="left"/>
              <w:rPr>
                <w:rFonts w:ascii="Arial Narrow" w:hAnsi="Arial Narrow"/>
                <w:b/>
                <w:color w:val="000000" w:themeColor="text1"/>
                <w:lang w:val="en-GB"/>
              </w:rPr>
            </w:pPr>
            <w:r w:rsidRPr="00D34B4E">
              <w:rPr>
                <w:rFonts w:ascii="Arial Narrow" w:hAnsi="Arial Narrow"/>
                <w:b/>
                <w:color w:val="000000" w:themeColor="text1"/>
                <w:lang w:val="en-GB"/>
              </w:rPr>
              <w:t>Notice</w:t>
            </w:r>
          </w:p>
        </w:tc>
        <w:tc>
          <w:tcPr>
            <w:tcW w:w="7128" w:type="dxa"/>
          </w:tcPr>
          <w:p w:rsidR="00130229" w:rsidRPr="00D34B4E" w:rsidRDefault="00B125C8">
            <w:pPr>
              <w:spacing w:before="120" w:after="0"/>
              <w:rPr>
                <w:rFonts w:ascii="Arial Narrow" w:hAnsi="Arial Narrow"/>
                <w:color w:val="000000" w:themeColor="text1"/>
                <w:lang w:val="en-GB"/>
              </w:rPr>
            </w:pPr>
            <w:r w:rsidRPr="00D34B4E">
              <w:rPr>
                <w:rFonts w:ascii="Arial Narrow" w:hAnsi="Arial Narrow"/>
                <w:color w:val="000000" w:themeColor="text1"/>
                <w:lang w:val="en-GB"/>
              </w:rPr>
              <w:t xml:space="preserve">At least 21 days before the meeting date, the Secretariat electronically notifies of the time and place where the meeting is to be held. </w:t>
            </w:r>
          </w:p>
          <w:p w:rsidR="00130229" w:rsidRPr="00D34B4E" w:rsidRDefault="00B125C8">
            <w:pPr>
              <w:spacing w:before="120" w:after="0"/>
              <w:rPr>
                <w:rFonts w:ascii="Arial Narrow" w:hAnsi="Arial Narrow"/>
                <w:color w:val="000000" w:themeColor="text1"/>
                <w:lang w:val="en-GB"/>
              </w:rPr>
            </w:pPr>
            <w:r w:rsidRPr="00D34B4E">
              <w:rPr>
                <w:rFonts w:ascii="Arial Narrow" w:hAnsi="Arial Narrow"/>
                <w:color w:val="000000" w:themeColor="text1"/>
                <w:lang w:val="en-GB"/>
              </w:rPr>
              <w:t>At least 2 days before an extraordinary meeting, the Secretariat electronically notifies, provides the reason for an extraordinary meeting, as well as the time and venue.</w:t>
            </w:r>
          </w:p>
          <w:p w:rsidR="00130229" w:rsidRPr="00D34B4E" w:rsidRDefault="00B125C8">
            <w:pPr>
              <w:spacing w:before="120" w:after="0"/>
              <w:rPr>
                <w:rFonts w:ascii="Arial Narrow" w:hAnsi="Arial Narrow"/>
                <w:color w:val="000000" w:themeColor="text1"/>
                <w:lang w:val="en-GB"/>
              </w:rPr>
            </w:pPr>
            <w:r w:rsidRPr="00D34B4E">
              <w:rPr>
                <w:rFonts w:ascii="Arial Narrow" w:hAnsi="Arial Narrow"/>
                <w:color w:val="000000" w:themeColor="text1"/>
                <w:lang w:val="en-GB"/>
              </w:rPr>
              <w:t>The minutes of the previous meeting will be enclosed and members are requested to provide the Secretariat with input by the closing date for the agenda.  Should no response be received by this time, it will be assumed that the members agree with the record.</w:t>
            </w:r>
          </w:p>
        </w:tc>
      </w:tr>
      <w:tr w:rsidR="00130229">
        <w:tc>
          <w:tcPr>
            <w:tcW w:w="1967" w:type="dxa"/>
          </w:tcPr>
          <w:p w:rsidR="00130229" w:rsidRPr="00D34B4E" w:rsidRDefault="00B125C8">
            <w:pPr>
              <w:spacing w:before="120" w:after="0"/>
              <w:jc w:val="left"/>
              <w:rPr>
                <w:rFonts w:ascii="Arial Narrow" w:hAnsi="Arial Narrow"/>
                <w:b/>
                <w:lang w:val="en-GB"/>
              </w:rPr>
            </w:pPr>
            <w:r w:rsidRPr="00D34B4E">
              <w:rPr>
                <w:rFonts w:ascii="Arial Narrow" w:hAnsi="Arial Narrow"/>
                <w:b/>
                <w:lang w:val="en-GB"/>
              </w:rPr>
              <w:t>Agenda</w:t>
            </w:r>
          </w:p>
        </w:tc>
        <w:tc>
          <w:tcPr>
            <w:tcW w:w="7128" w:type="dxa"/>
          </w:tcPr>
          <w:p w:rsidR="00130229" w:rsidRPr="00D34B4E" w:rsidRDefault="00B125C8">
            <w:pPr>
              <w:spacing w:before="120" w:after="0"/>
              <w:rPr>
                <w:rFonts w:ascii="Arial Narrow" w:hAnsi="Arial Narrow"/>
                <w:lang w:val="en-GB"/>
              </w:rPr>
            </w:pPr>
            <w:r w:rsidRPr="00D34B4E">
              <w:rPr>
                <w:rFonts w:ascii="Arial Narrow" w:hAnsi="Arial Narrow"/>
                <w:lang w:val="en-GB"/>
              </w:rPr>
              <w:t>At least 7 days prior to the meeting, the Secretariat provides the complete agenda pack electronically to all members.</w:t>
            </w:r>
          </w:p>
        </w:tc>
      </w:tr>
      <w:tr w:rsidR="00130229">
        <w:tc>
          <w:tcPr>
            <w:tcW w:w="1967" w:type="dxa"/>
          </w:tcPr>
          <w:p w:rsidR="00130229" w:rsidRPr="00D34B4E" w:rsidRDefault="00B125C8">
            <w:pPr>
              <w:spacing w:before="120" w:after="0"/>
              <w:jc w:val="left"/>
              <w:rPr>
                <w:rFonts w:ascii="Arial Narrow" w:hAnsi="Arial Narrow"/>
                <w:b/>
                <w:lang w:val="en-GB"/>
              </w:rPr>
            </w:pPr>
            <w:r w:rsidRPr="00D34B4E">
              <w:rPr>
                <w:rFonts w:ascii="Arial Narrow" w:hAnsi="Arial Narrow"/>
                <w:b/>
                <w:lang w:val="en-GB"/>
              </w:rPr>
              <w:t>Attendance register</w:t>
            </w:r>
          </w:p>
        </w:tc>
        <w:tc>
          <w:tcPr>
            <w:tcW w:w="7128" w:type="dxa"/>
          </w:tcPr>
          <w:p w:rsidR="00130229" w:rsidRPr="00D34B4E" w:rsidRDefault="00B125C8">
            <w:pPr>
              <w:spacing w:before="120" w:after="0"/>
              <w:rPr>
                <w:rFonts w:ascii="Arial Narrow" w:hAnsi="Arial Narrow"/>
                <w:lang w:val="en-GB"/>
              </w:rPr>
            </w:pPr>
            <w:r w:rsidRPr="00D34B4E">
              <w:rPr>
                <w:rFonts w:ascii="Arial Narrow" w:hAnsi="Arial Narrow"/>
                <w:lang w:val="en-GB"/>
              </w:rPr>
              <w:t>An attendance register will be circulated by the Secretariat at the beginning of each meeting.  Every member present must sign the attendance register.  The attendance register is proof of attendance for purposes of minuting.</w:t>
            </w:r>
          </w:p>
        </w:tc>
      </w:tr>
      <w:tr w:rsidR="00130229">
        <w:tc>
          <w:tcPr>
            <w:tcW w:w="1967" w:type="dxa"/>
          </w:tcPr>
          <w:p w:rsidR="00130229" w:rsidRPr="00D34B4E" w:rsidRDefault="00B125C8">
            <w:pPr>
              <w:spacing w:before="120" w:after="0"/>
              <w:jc w:val="left"/>
              <w:rPr>
                <w:rFonts w:ascii="Arial Narrow" w:hAnsi="Arial Narrow"/>
                <w:b/>
                <w:lang w:val="en-GB"/>
              </w:rPr>
            </w:pPr>
            <w:r w:rsidRPr="00D34B4E">
              <w:rPr>
                <w:rFonts w:ascii="Arial Narrow" w:hAnsi="Arial Narrow"/>
                <w:b/>
                <w:lang w:val="en-GB"/>
              </w:rPr>
              <w:t>Confirmation of Minutes</w:t>
            </w:r>
          </w:p>
        </w:tc>
        <w:tc>
          <w:tcPr>
            <w:tcW w:w="7128" w:type="dxa"/>
          </w:tcPr>
          <w:p w:rsidR="00130229" w:rsidRPr="00D34B4E" w:rsidRDefault="00B125C8">
            <w:pPr>
              <w:spacing w:before="120" w:after="0"/>
              <w:rPr>
                <w:rFonts w:ascii="Arial Narrow" w:hAnsi="Arial Narrow"/>
                <w:lang w:val="en-GB"/>
              </w:rPr>
            </w:pPr>
            <w:r w:rsidRPr="00D34B4E">
              <w:rPr>
                <w:rFonts w:ascii="Arial Narrow" w:hAnsi="Arial Narrow"/>
                <w:lang w:val="en-GB"/>
              </w:rPr>
              <w:t xml:space="preserve">An ordinary meeting, after being constituted and opened, commences with reading and confirming (by means of the chairperson signing) of the minutes of the previous meeting(s).  </w:t>
            </w:r>
          </w:p>
          <w:p w:rsidR="00130229" w:rsidRPr="00D34B4E" w:rsidRDefault="00B125C8">
            <w:pPr>
              <w:spacing w:before="120" w:after="0"/>
              <w:rPr>
                <w:rFonts w:ascii="Arial Narrow" w:hAnsi="Arial Narrow"/>
                <w:lang w:val="en-GB"/>
              </w:rPr>
            </w:pPr>
            <w:r w:rsidRPr="00D34B4E">
              <w:rPr>
                <w:rFonts w:ascii="Arial Narrow" w:hAnsi="Arial Narrow"/>
                <w:lang w:val="en-GB"/>
              </w:rPr>
              <w:t>Any objection to the minutes is raised and disposed of before the minutes are confirmed.  The minutes may be regarded as read if a copy of the draft minutes was provided to members prior to the meeting.</w:t>
            </w:r>
          </w:p>
          <w:p w:rsidR="00130229" w:rsidRPr="00D34B4E" w:rsidRDefault="00B125C8">
            <w:pPr>
              <w:spacing w:before="120" w:after="0"/>
              <w:rPr>
                <w:rFonts w:ascii="Arial Narrow" w:hAnsi="Arial Narrow"/>
                <w:lang w:val="en-GB"/>
              </w:rPr>
            </w:pPr>
            <w:r w:rsidRPr="00D34B4E">
              <w:rPr>
                <w:rFonts w:ascii="Arial Narrow" w:hAnsi="Arial Narrow"/>
                <w:lang w:val="en-GB"/>
              </w:rPr>
              <w:t>Minutes will be a true reflection of the previous meeting, and will contain all views expressed under the heading “noted”.  Decisions made by the committee will reflect under the heading “resolved”.</w:t>
            </w:r>
          </w:p>
        </w:tc>
      </w:tr>
      <w:tr w:rsidR="00130229">
        <w:tc>
          <w:tcPr>
            <w:tcW w:w="1967" w:type="dxa"/>
          </w:tcPr>
          <w:p w:rsidR="00130229" w:rsidRPr="00D34B4E" w:rsidRDefault="00B125C8">
            <w:pPr>
              <w:spacing w:before="120" w:after="0"/>
              <w:jc w:val="left"/>
              <w:rPr>
                <w:rFonts w:ascii="Arial Narrow" w:hAnsi="Arial Narrow"/>
                <w:b/>
                <w:lang w:val="en-GB"/>
              </w:rPr>
            </w:pPr>
            <w:r w:rsidRPr="00D34B4E">
              <w:rPr>
                <w:rFonts w:ascii="Arial Narrow" w:hAnsi="Arial Narrow"/>
                <w:b/>
                <w:lang w:val="en-GB"/>
              </w:rPr>
              <w:t>Decision-making process</w:t>
            </w:r>
          </w:p>
        </w:tc>
        <w:tc>
          <w:tcPr>
            <w:tcW w:w="7128" w:type="dxa"/>
          </w:tcPr>
          <w:p w:rsidR="00130229" w:rsidRPr="00D34B4E" w:rsidRDefault="00B125C8">
            <w:pPr>
              <w:spacing w:before="120" w:after="0"/>
              <w:rPr>
                <w:rFonts w:ascii="Arial Narrow" w:hAnsi="Arial Narrow"/>
                <w:lang w:val="en-GB"/>
              </w:rPr>
            </w:pPr>
            <w:r w:rsidRPr="00D34B4E">
              <w:rPr>
                <w:rFonts w:ascii="Arial Narrow" w:hAnsi="Arial Narrow"/>
                <w:lang w:val="en-GB"/>
              </w:rPr>
              <w:t>Matters are decided by means of general consensus.  The Chairperson might however decide when a decision should be taken by means of a voting procedure.</w:t>
            </w:r>
          </w:p>
          <w:p w:rsidR="00130229" w:rsidRPr="00D34B4E" w:rsidRDefault="00B125C8">
            <w:pPr>
              <w:spacing w:before="120" w:after="0"/>
              <w:rPr>
                <w:rFonts w:ascii="Arial Narrow" w:hAnsi="Arial Narrow"/>
                <w:lang w:val="en-GB"/>
              </w:rPr>
            </w:pPr>
            <w:r w:rsidRPr="00D34B4E">
              <w:rPr>
                <w:rFonts w:ascii="Arial Narrow" w:hAnsi="Arial Narrow"/>
                <w:lang w:val="en-GB"/>
              </w:rPr>
              <w:t>The Chairperson may decide that voting must be by secret ballot, provided that voting for persons must always be by secret ballot.</w:t>
            </w:r>
          </w:p>
          <w:p w:rsidR="00130229" w:rsidRPr="00D34B4E" w:rsidRDefault="00B125C8">
            <w:pPr>
              <w:spacing w:before="120" w:after="0"/>
              <w:rPr>
                <w:rFonts w:ascii="Arial Narrow" w:hAnsi="Arial Narrow"/>
                <w:lang w:val="en-GB"/>
              </w:rPr>
            </w:pPr>
            <w:r w:rsidRPr="00D34B4E">
              <w:rPr>
                <w:rFonts w:ascii="Arial Narrow" w:hAnsi="Arial Narrow"/>
                <w:lang w:val="en-GB"/>
              </w:rPr>
              <w:t>The Chairperson has an ordinary vote, but must in addition exercise a casting vote in the event of an equality of votes on any matter.</w:t>
            </w:r>
          </w:p>
          <w:p w:rsidR="00130229" w:rsidRPr="00D34B4E" w:rsidRDefault="00B125C8">
            <w:pPr>
              <w:spacing w:before="120" w:after="0"/>
              <w:rPr>
                <w:rFonts w:ascii="Arial Narrow" w:hAnsi="Arial Narrow"/>
                <w:lang w:val="en-GB"/>
              </w:rPr>
            </w:pPr>
            <w:r w:rsidRPr="00D34B4E">
              <w:rPr>
                <w:rFonts w:ascii="Arial Narrow" w:hAnsi="Arial Narrow"/>
                <w:lang w:val="en-GB"/>
              </w:rPr>
              <w:t>The number of votes in favour of or against any proposal is not recorded in the minutes, unless the Chairperson so decides.</w:t>
            </w:r>
          </w:p>
        </w:tc>
      </w:tr>
      <w:tr w:rsidR="00130229">
        <w:tc>
          <w:tcPr>
            <w:tcW w:w="1967" w:type="dxa"/>
          </w:tcPr>
          <w:p w:rsidR="00130229" w:rsidRPr="00D34B4E" w:rsidRDefault="00B125C8">
            <w:pPr>
              <w:spacing w:before="120" w:after="0"/>
              <w:jc w:val="left"/>
              <w:rPr>
                <w:rFonts w:ascii="Arial Narrow" w:hAnsi="Arial Narrow"/>
                <w:b/>
                <w:lang w:val="en-GB"/>
              </w:rPr>
            </w:pPr>
            <w:r w:rsidRPr="00D34B4E">
              <w:rPr>
                <w:rFonts w:ascii="Arial Narrow" w:hAnsi="Arial Narrow"/>
                <w:b/>
                <w:lang w:val="en-GB"/>
              </w:rPr>
              <w:t>Revoking of a resolution</w:t>
            </w:r>
          </w:p>
        </w:tc>
        <w:tc>
          <w:tcPr>
            <w:tcW w:w="7128" w:type="dxa"/>
          </w:tcPr>
          <w:p w:rsidR="00130229" w:rsidRPr="00D34B4E" w:rsidRDefault="00B125C8">
            <w:pPr>
              <w:spacing w:before="120" w:after="0"/>
              <w:rPr>
                <w:rFonts w:ascii="Arial Narrow" w:hAnsi="Arial Narrow"/>
                <w:lang w:val="en-GB"/>
              </w:rPr>
            </w:pPr>
            <w:r w:rsidRPr="00D34B4E">
              <w:rPr>
                <w:rFonts w:ascii="Arial Narrow" w:hAnsi="Arial Narrow"/>
                <w:lang w:val="en-GB"/>
              </w:rPr>
              <w:t>The revoking of any resolution entails a formal process by means of which a member is to table a formal written request for a rescission, motivating the reason for the review of the resolution in question, as well as providing a suggestion for a resolution.</w:t>
            </w:r>
          </w:p>
        </w:tc>
      </w:tr>
      <w:tr w:rsidR="00130229">
        <w:tc>
          <w:tcPr>
            <w:tcW w:w="1967" w:type="dxa"/>
          </w:tcPr>
          <w:p w:rsidR="00130229" w:rsidRPr="00D34B4E" w:rsidRDefault="00B125C8">
            <w:pPr>
              <w:spacing w:before="120" w:after="0"/>
              <w:jc w:val="left"/>
              <w:rPr>
                <w:rFonts w:ascii="Arial Narrow" w:hAnsi="Arial Narrow"/>
                <w:b/>
                <w:lang w:val="en-GB"/>
              </w:rPr>
            </w:pPr>
            <w:r w:rsidRPr="00D34B4E">
              <w:rPr>
                <w:rFonts w:ascii="Arial Narrow" w:hAnsi="Arial Narrow"/>
                <w:b/>
                <w:lang w:val="en-GB"/>
              </w:rPr>
              <w:t>Conflict of Interest</w:t>
            </w:r>
          </w:p>
        </w:tc>
        <w:tc>
          <w:tcPr>
            <w:tcW w:w="7128" w:type="dxa"/>
          </w:tcPr>
          <w:p w:rsidR="00130229" w:rsidRPr="00D34B4E" w:rsidRDefault="00B125C8">
            <w:pPr>
              <w:spacing w:before="120" w:after="0"/>
              <w:rPr>
                <w:rFonts w:ascii="Arial Narrow" w:hAnsi="Arial Narrow"/>
                <w:lang w:val="en-GB"/>
              </w:rPr>
            </w:pPr>
            <w:r w:rsidRPr="00D34B4E">
              <w:rPr>
                <w:rFonts w:ascii="Arial Narrow" w:hAnsi="Arial Narrow"/>
                <w:lang w:val="en-GB"/>
              </w:rPr>
              <w:t>A member may not take part in the discussion of or vote on any matter in which the member has a direct financial or other interest, unless the member first discloses the nature and extent of the interest and obtains the leave of the meeting to take part in the discussion or vote.</w:t>
            </w:r>
          </w:p>
          <w:p w:rsidR="00130229" w:rsidRPr="00D34B4E" w:rsidRDefault="00B125C8">
            <w:pPr>
              <w:spacing w:before="120" w:after="0"/>
              <w:rPr>
                <w:rFonts w:ascii="Arial Narrow" w:hAnsi="Arial Narrow"/>
                <w:lang w:val="en-GB"/>
              </w:rPr>
            </w:pPr>
            <w:r w:rsidRPr="00D34B4E">
              <w:rPr>
                <w:rFonts w:ascii="Arial Narrow" w:hAnsi="Arial Narrow"/>
                <w:lang w:val="en-GB"/>
              </w:rPr>
              <w:t>All committee members mush indicate any conflict of interest at the agenda point allocated therefor and must also indicate a conflict of interest on the attendance register by indicating the agenda item where the conflict arises in writing next to his/her name.</w:t>
            </w:r>
          </w:p>
        </w:tc>
      </w:tr>
      <w:tr w:rsidR="00130229">
        <w:tc>
          <w:tcPr>
            <w:tcW w:w="1967" w:type="dxa"/>
          </w:tcPr>
          <w:p w:rsidR="00130229" w:rsidRPr="00D34B4E" w:rsidRDefault="00B125C8">
            <w:pPr>
              <w:spacing w:before="120" w:after="0"/>
              <w:jc w:val="left"/>
              <w:rPr>
                <w:rFonts w:ascii="Arial Narrow" w:hAnsi="Arial Narrow"/>
                <w:b/>
                <w:lang w:val="en-GB"/>
              </w:rPr>
            </w:pPr>
            <w:r w:rsidRPr="00D34B4E">
              <w:rPr>
                <w:rFonts w:ascii="Arial Narrow" w:hAnsi="Arial Narrow"/>
                <w:b/>
                <w:lang w:val="en-GB"/>
              </w:rPr>
              <w:t>Point of Order</w:t>
            </w:r>
          </w:p>
        </w:tc>
        <w:tc>
          <w:tcPr>
            <w:tcW w:w="7128" w:type="dxa"/>
          </w:tcPr>
          <w:p w:rsidR="00130229" w:rsidRPr="00D34B4E" w:rsidRDefault="00B125C8">
            <w:pPr>
              <w:spacing w:before="120" w:after="0"/>
              <w:rPr>
                <w:rFonts w:ascii="Arial Narrow" w:hAnsi="Arial Narrow"/>
                <w:lang w:val="en-GB"/>
              </w:rPr>
            </w:pPr>
            <w:r w:rsidRPr="00D34B4E">
              <w:rPr>
                <w:rFonts w:ascii="Arial Narrow" w:hAnsi="Arial Narrow"/>
                <w:lang w:val="en-GB"/>
              </w:rPr>
              <w:t xml:space="preserve">A point or order, clarification or information may be raised against any member, in which instance the ruling of the Chairperson is binding and cannot be challenged. </w:t>
            </w:r>
          </w:p>
          <w:p w:rsidR="00130229" w:rsidRPr="00D34B4E" w:rsidRDefault="00B125C8">
            <w:pPr>
              <w:spacing w:before="120" w:after="0"/>
              <w:rPr>
                <w:rFonts w:ascii="Arial Narrow" w:hAnsi="Arial Narrow"/>
                <w:lang w:val="en-GB"/>
              </w:rPr>
            </w:pPr>
            <w:r w:rsidRPr="00D34B4E">
              <w:rPr>
                <w:rFonts w:ascii="Arial Narrow" w:hAnsi="Arial Narrow"/>
                <w:lang w:val="en-GB"/>
              </w:rPr>
              <w:t>Should the above point of order, clarification or information be immediately challenged by a member, the ruling is put to the meeting for determination – without it being discussed, and the decision of the meeting is final.</w:t>
            </w:r>
          </w:p>
        </w:tc>
      </w:tr>
      <w:tr w:rsidR="00130229">
        <w:tc>
          <w:tcPr>
            <w:tcW w:w="1967" w:type="dxa"/>
          </w:tcPr>
          <w:p w:rsidR="00130229" w:rsidRPr="00D34B4E" w:rsidRDefault="00B125C8">
            <w:pPr>
              <w:spacing w:before="120" w:after="0"/>
              <w:jc w:val="left"/>
              <w:rPr>
                <w:rFonts w:ascii="Arial Narrow" w:hAnsi="Arial Narrow"/>
                <w:b/>
                <w:lang w:val="en-GB"/>
              </w:rPr>
            </w:pPr>
            <w:r w:rsidRPr="00D34B4E">
              <w:rPr>
                <w:rFonts w:ascii="Arial Narrow" w:hAnsi="Arial Narrow"/>
                <w:b/>
                <w:lang w:val="en-GB"/>
              </w:rPr>
              <w:t>Disrespectful / Disorderly conduct</w:t>
            </w:r>
          </w:p>
        </w:tc>
        <w:tc>
          <w:tcPr>
            <w:tcW w:w="7128" w:type="dxa"/>
          </w:tcPr>
          <w:p w:rsidR="00130229" w:rsidRPr="00D34B4E" w:rsidRDefault="00B125C8">
            <w:pPr>
              <w:spacing w:before="120" w:after="0"/>
              <w:rPr>
                <w:rFonts w:ascii="Arial Narrow" w:hAnsi="Arial Narrow"/>
                <w:lang w:val="en-GB"/>
              </w:rPr>
            </w:pPr>
            <w:r w:rsidRPr="00D34B4E">
              <w:rPr>
                <w:rFonts w:ascii="Arial Narrow" w:hAnsi="Arial Narrow"/>
                <w:lang w:val="en-GB"/>
              </w:rPr>
              <w:t>Anyone attending a meeting who, after having been requested to refrain from disrespectful or disorderly conduct, continues to disobey a ruling from the Chairperson, must be requested to leave the meeting.</w:t>
            </w:r>
          </w:p>
          <w:p w:rsidR="00130229" w:rsidRPr="00D34B4E" w:rsidRDefault="00B125C8">
            <w:pPr>
              <w:spacing w:before="120" w:after="0"/>
              <w:rPr>
                <w:rFonts w:ascii="Arial Narrow" w:hAnsi="Arial Narrow"/>
                <w:lang w:val="en-GB"/>
              </w:rPr>
            </w:pPr>
            <w:r w:rsidRPr="00D34B4E">
              <w:rPr>
                <w:rFonts w:ascii="Arial Narrow" w:hAnsi="Arial Narrow"/>
                <w:lang w:val="en-GB"/>
              </w:rPr>
              <w:t>If that person does not leave the meeting immediately, such a person could be removed from the meeting with the assistance of Protection Services.</w:t>
            </w:r>
          </w:p>
        </w:tc>
      </w:tr>
      <w:tr w:rsidR="00130229">
        <w:tc>
          <w:tcPr>
            <w:tcW w:w="1967" w:type="dxa"/>
          </w:tcPr>
          <w:p w:rsidR="00130229" w:rsidRPr="00D34B4E" w:rsidRDefault="00B125C8">
            <w:pPr>
              <w:spacing w:before="120" w:after="0"/>
              <w:jc w:val="left"/>
              <w:rPr>
                <w:rFonts w:ascii="Arial Narrow" w:hAnsi="Arial Narrow"/>
                <w:b/>
                <w:color w:val="000000" w:themeColor="text1"/>
                <w:lang w:val="en-GB"/>
              </w:rPr>
            </w:pPr>
            <w:r>
              <w:rPr>
                <w:rFonts w:ascii="Arial Narrow" w:hAnsi="Arial Narrow"/>
                <w:b/>
                <w:color w:val="000000" w:themeColor="text1"/>
                <w:lang w:val="en-GB"/>
              </w:rPr>
              <w:t>Voting</w:t>
            </w:r>
          </w:p>
        </w:tc>
        <w:tc>
          <w:tcPr>
            <w:tcW w:w="7128" w:type="dxa"/>
          </w:tcPr>
          <w:p w:rsidR="00130229" w:rsidRDefault="00B125C8">
            <w:pPr>
              <w:spacing w:before="120" w:after="0"/>
              <w:jc w:val="left"/>
              <w:rPr>
                <w:rFonts w:ascii="Arial Narrow" w:hAnsi="Arial Narrow"/>
                <w:color w:val="000000" w:themeColor="text1"/>
                <w:lang w:val="en-GB"/>
              </w:rPr>
            </w:pPr>
            <w:r>
              <w:rPr>
                <w:rFonts w:ascii="Arial Narrow" w:hAnsi="Arial Narrow"/>
                <w:color w:val="000000" w:themeColor="text1"/>
                <w:lang w:val="en-GB"/>
              </w:rPr>
              <w:t xml:space="preserve">All matters are decided by majority of votes cast. </w:t>
            </w:r>
          </w:p>
          <w:p w:rsidR="00130229" w:rsidRDefault="00B125C8">
            <w:pPr>
              <w:spacing w:before="120" w:after="0"/>
              <w:jc w:val="left"/>
              <w:rPr>
                <w:rFonts w:ascii="Arial Narrow" w:hAnsi="Arial Narrow"/>
                <w:color w:val="000000" w:themeColor="text1"/>
                <w:lang w:val="en-GB"/>
              </w:rPr>
            </w:pPr>
            <w:r>
              <w:rPr>
                <w:rFonts w:ascii="Arial Narrow" w:hAnsi="Arial Narrow"/>
                <w:color w:val="000000" w:themeColor="text1"/>
                <w:lang w:val="en-GB"/>
              </w:rPr>
              <w:t>The Chairperson or the meeting may decide that voting must be by secret ballot, provided that voting for persons must always be by secret ballot. (Para 9(16) of the NWU Statute).</w:t>
            </w:r>
          </w:p>
          <w:p w:rsidR="00130229" w:rsidRDefault="00B125C8">
            <w:pPr>
              <w:spacing w:before="120" w:after="0"/>
              <w:jc w:val="left"/>
              <w:rPr>
                <w:rFonts w:ascii="Arial Narrow" w:hAnsi="Arial Narrow"/>
                <w:color w:val="000000" w:themeColor="text1"/>
                <w:lang w:val="en-GB"/>
              </w:rPr>
            </w:pPr>
            <w:r>
              <w:rPr>
                <w:rFonts w:ascii="Arial Narrow" w:hAnsi="Arial Narrow"/>
                <w:color w:val="000000" w:themeColor="text1"/>
                <w:lang w:val="en-GB"/>
              </w:rPr>
              <w:t xml:space="preserve">The Chairperson has an ordinary vote, but may in addition exercise a casting vote in the event of an equality of votes on any matter. </w:t>
            </w:r>
          </w:p>
          <w:p w:rsidR="00130229" w:rsidRDefault="00B125C8">
            <w:pPr>
              <w:spacing w:before="120" w:after="0"/>
              <w:jc w:val="left"/>
              <w:rPr>
                <w:rFonts w:ascii="Arial Narrow" w:hAnsi="Arial Narrow"/>
                <w:color w:val="000000" w:themeColor="text1"/>
                <w:lang w:val="en-GB"/>
              </w:rPr>
            </w:pPr>
            <w:r>
              <w:rPr>
                <w:rFonts w:ascii="Arial Narrow" w:hAnsi="Arial Narrow"/>
                <w:color w:val="000000" w:themeColor="text1"/>
                <w:lang w:val="en-GB"/>
              </w:rPr>
              <w:t xml:space="preserve">The number of votes in favour of or against any proposal is not recorded in the minutes, unless the meeting so decides. </w:t>
            </w:r>
          </w:p>
          <w:p w:rsidR="00130229" w:rsidRDefault="00B125C8">
            <w:pPr>
              <w:spacing w:before="120" w:after="0"/>
              <w:jc w:val="left"/>
              <w:rPr>
                <w:rFonts w:ascii="Arial Narrow" w:hAnsi="Arial Narrow"/>
                <w:color w:val="000000" w:themeColor="text1"/>
                <w:lang w:val="en-GB"/>
              </w:rPr>
            </w:pPr>
            <w:r>
              <w:rPr>
                <w:rFonts w:ascii="Arial Narrow" w:hAnsi="Arial Narrow"/>
                <w:color w:val="000000" w:themeColor="text1"/>
                <w:lang w:val="en-GB"/>
              </w:rPr>
              <w:t>At the request of a member the chairperson may direct that the vote of such member be recorded.</w:t>
            </w:r>
          </w:p>
          <w:p w:rsidR="00130229" w:rsidRPr="00D34B4E" w:rsidRDefault="00B125C8">
            <w:pPr>
              <w:spacing w:before="120" w:after="0"/>
              <w:rPr>
                <w:rFonts w:ascii="Arial Narrow" w:hAnsi="Arial Narrow"/>
                <w:color w:val="000000" w:themeColor="text1"/>
                <w:lang w:val="en-GB"/>
              </w:rPr>
            </w:pPr>
            <w:r>
              <w:rPr>
                <w:rFonts w:ascii="Arial Narrow" w:hAnsi="Arial Narrow"/>
                <w:color w:val="000000" w:themeColor="text1"/>
                <w:lang w:val="en-GB"/>
              </w:rPr>
              <w:t xml:space="preserve">The views of a member who is unable to attend a meeting may be submitted in writing but may not count as a vote of such member.  </w:t>
            </w:r>
          </w:p>
        </w:tc>
      </w:tr>
      <w:tr w:rsidR="00130229">
        <w:tc>
          <w:tcPr>
            <w:tcW w:w="1967" w:type="dxa"/>
          </w:tcPr>
          <w:p w:rsidR="00130229" w:rsidRPr="00D34B4E" w:rsidRDefault="00B125C8">
            <w:pPr>
              <w:spacing w:before="120" w:after="0"/>
              <w:jc w:val="left"/>
              <w:rPr>
                <w:rFonts w:ascii="Arial Narrow" w:hAnsi="Arial Narrow"/>
                <w:b/>
                <w:color w:val="000000" w:themeColor="text1"/>
                <w:lang w:val="en-GB"/>
              </w:rPr>
            </w:pPr>
            <w:r w:rsidRPr="00D34B4E">
              <w:rPr>
                <w:rFonts w:ascii="Arial Narrow" w:hAnsi="Arial Narrow"/>
                <w:b/>
                <w:color w:val="000000" w:themeColor="text1"/>
                <w:lang w:val="en-GB"/>
              </w:rPr>
              <w:t>Apology</w:t>
            </w:r>
          </w:p>
        </w:tc>
        <w:tc>
          <w:tcPr>
            <w:tcW w:w="7128" w:type="dxa"/>
          </w:tcPr>
          <w:p w:rsidR="00130229" w:rsidRPr="00D34B4E" w:rsidRDefault="00B125C8">
            <w:pPr>
              <w:spacing w:before="120" w:after="0"/>
              <w:rPr>
                <w:rFonts w:ascii="Arial Narrow" w:hAnsi="Arial Narrow"/>
                <w:color w:val="000000" w:themeColor="text1"/>
                <w:lang w:val="en-GB"/>
              </w:rPr>
            </w:pPr>
            <w:r w:rsidRPr="00D34B4E">
              <w:rPr>
                <w:rFonts w:ascii="Arial Narrow" w:hAnsi="Arial Narrow"/>
                <w:color w:val="000000" w:themeColor="text1"/>
                <w:lang w:val="en-GB"/>
              </w:rPr>
              <w:t>An apology will be noted when a member electronically submits it to the Secretariat and/or the Chairperson, at least one day prior to the meeting.</w:t>
            </w:r>
          </w:p>
          <w:p w:rsidR="00130229" w:rsidRPr="00D34B4E" w:rsidRDefault="00B125C8">
            <w:pPr>
              <w:spacing w:before="120" w:after="0"/>
              <w:rPr>
                <w:rFonts w:ascii="Arial Narrow" w:hAnsi="Arial Narrow"/>
                <w:color w:val="000000" w:themeColor="text1"/>
                <w:lang w:val="en-GB"/>
              </w:rPr>
            </w:pPr>
            <w:r w:rsidRPr="00D34B4E">
              <w:rPr>
                <w:rFonts w:ascii="Arial Narrow" w:hAnsi="Arial Narrow"/>
                <w:color w:val="000000" w:themeColor="text1"/>
                <w:lang w:val="en-GB"/>
              </w:rPr>
              <w:t>Members absent from the meeting without above mentioned apology are noted as “without apology”.</w:t>
            </w:r>
          </w:p>
          <w:p w:rsidR="00130229" w:rsidRPr="00D34B4E" w:rsidRDefault="00B125C8">
            <w:pPr>
              <w:spacing w:before="120" w:after="0"/>
              <w:rPr>
                <w:rFonts w:ascii="Arial Narrow" w:hAnsi="Arial Narrow"/>
                <w:color w:val="000000" w:themeColor="text1"/>
                <w:lang w:val="en-GB"/>
              </w:rPr>
            </w:pPr>
            <w:r w:rsidRPr="00D34B4E">
              <w:rPr>
                <w:rFonts w:ascii="Arial Narrow" w:hAnsi="Arial Narrow"/>
                <w:color w:val="000000" w:themeColor="text1"/>
                <w:lang w:val="en-GB"/>
              </w:rPr>
              <w:t>The views of a member who is unable to attend a meeting may be submitted in writing but may not count as a vote of such member.</w:t>
            </w:r>
          </w:p>
        </w:tc>
      </w:tr>
      <w:tr w:rsidR="00130229">
        <w:tc>
          <w:tcPr>
            <w:tcW w:w="1967" w:type="dxa"/>
          </w:tcPr>
          <w:p w:rsidR="00130229" w:rsidRPr="00D34B4E" w:rsidRDefault="00B125C8">
            <w:pPr>
              <w:spacing w:before="120" w:after="0"/>
              <w:jc w:val="left"/>
              <w:rPr>
                <w:rFonts w:ascii="Arial Narrow" w:hAnsi="Arial Narrow"/>
                <w:b/>
                <w:color w:val="000000" w:themeColor="text1"/>
                <w:lang w:val="en-GB"/>
              </w:rPr>
            </w:pPr>
            <w:r w:rsidRPr="00D34B4E">
              <w:rPr>
                <w:rFonts w:ascii="Arial Narrow" w:hAnsi="Arial Narrow"/>
                <w:b/>
                <w:color w:val="000000" w:themeColor="text1"/>
                <w:lang w:val="en-GB"/>
              </w:rPr>
              <w:t>Recording of meeting</w:t>
            </w:r>
          </w:p>
        </w:tc>
        <w:tc>
          <w:tcPr>
            <w:tcW w:w="7128" w:type="dxa"/>
          </w:tcPr>
          <w:p w:rsidR="00130229" w:rsidRPr="00D34B4E" w:rsidRDefault="00B125C8">
            <w:pPr>
              <w:spacing w:before="120" w:after="0"/>
              <w:rPr>
                <w:rFonts w:ascii="Arial Narrow" w:hAnsi="Arial Narrow"/>
                <w:color w:val="000000" w:themeColor="text1"/>
                <w:lang w:val="en-GB"/>
              </w:rPr>
            </w:pPr>
            <w:r w:rsidRPr="00D34B4E">
              <w:rPr>
                <w:rFonts w:ascii="Arial Narrow" w:hAnsi="Arial Narrow"/>
                <w:color w:val="000000" w:themeColor="text1"/>
                <w:lang w:val="en-GB"/>
              </w:rPr>
              <w:t>At the opening of the meeting, the Chairperson indicates that a recording will be made for minute purposes.</w:t>
            </w:r>
          </w:p>
          <w:p w:rsidR="00130229" w:rsidRPr="00D34B4E" w:rsidRDefault="007500E1">
            <w:pPr>
              <w:spacing w:before="120" w:after="0"/>
              <w:rPr>
                <w:rFonts w:ascii="Arial Narrow" w:hAnsi="Arial Narrow"/>
                <w:color w:val="000000" w:themeColor="text1"/>
                <w:lang w:val="en-GB"/>
              </w:rPr>
            </w:pPr>
            <w:r>
              <w:rPr>
                <w:rFonts w:ascii="Arial Narrow" w:hAnsi="Arial Narrow"/>
                <w:color w:val="000000" w:themeColor="text1"/>
                <w:lang w:val="en-GB"/>
              </w:rPr>
              <w:t>The recording is archived for historical purposes, but once the minute is approved and signed, the minute constitutes the record of the meeting.</w:t>
            </w:r>
          </w:p>
        </w:tc>
      </w:tr>
      <w:tr w:rsidR="00130229">
        <w:tc>
          <w:tcPr>
            <w:tcW w:w="1967" w:type="dxa"/>
          </w:tcPr>
          <w:p w:rsidR="00130229" w:rsidRPr="00030A3F" w:rsidRDefault="00B125C8">
            <w:pPr>
              <w:spacing w:before="120" w:after="0"/>
              <w:jc w:val="left"/>
              <w:rPr>
                <w:rFonts w:ascii="Arial Narrow" w:hAnsi="Arial Narrow"/>
                <w:b/>
                <w:color w:val="000000" w:themeColor="text1"/>
                <w:lang w:val="en-GB"/>
              </w:rPr>
            </w:pPr>
            <w:r w:rsidRPr="00030A3F">
              <w:rPr>
                <w:rFonts w:ascii="Arial Narrow" w:hAnsi="Arial Narrow"/>
                <w:b/>
                <w:color w:val="000000" w:themeColor="text1"/>
                <w:lang w:val="en-GB"/>
              </w:rPr>
              <w:t>Round Robin Process</w:t>
            </w:r>
          </w:p>
        </w:tc>
        <w:tc>
          <w:tcPr>
            <w:tcW w:w="7128" w:type="dxa"/>
          </w:tcPr>
          <w:p w:rsidR="00130229" w:rsidRPr="00030A3F" w:rsidRDefault="00B125C8">
            <w:pPr>
              <w:spacing w:before="120" w:after="0"/>
              <w:rPr>
                <w:rFonts w:ascii="Arial Narrow" w:hAnsi="Arial Narrow"/>
                <w:color w:val="000000" w:themeColor="text1"/>
                <w:lang w:val="en-GB"/>
              </w:rPr>
            </w:pPr>
            <w:r w:rsidRPr="00030A3F">
              <w:rPr>
                <w:rFonts w:ascii="Arial Narrow" w:hAnsi="Arial Narrow"/>
                <w:color w:val="000000" w:themeColor="text1"/>
                <w:lang w:val="en-GB"/>
              </w:rPr>
              <w:t>The Chairperson may electronically submit urgent matters in-between scheduled meetings. The Secretariat will assist in this process.</w:t>
            </w:r>
          </w:p>
          <w:p w:rsidR="00130229" w:rsidRPr="00030A3F" w:rsidRDefault="00B125C8">
            <w:pPr>
              <w:spacing w:before="120" w:after="0"/>
              <w:rPr>
                <w:rFonts w:ascii="Arial Narrow" w:hAnsi="Arial Narrow"/>
                <w:color w:val="000000" w:themeColor="text1"/>
                <w:lang w:val="en-GB"/>
              </w:rPr>
            </w:pPr>
            <w:r w:rsidRPr="00030A3F">
              <w:rPr>
                <w:rFonts w:ascii="Arial Narrow" w:hAnsi="Arial Narrow"/>
                <w:color w:val="000000" w:themeColor="text1"/>
                <w:lang w:val="en-GB"/>
              </w:rPr>
              <w:t xml:space="preserve">At least two thirds of the members have to electronically confirm their involvement in the process by giving feedback, approval or non-approval.  When a majority of members reaches agreement it is taken as a resolution. The secretariat shall continue submitting the request for round-robin until response had been received from at least two-thirds of the members. </w:t>
            </w:r>
          </w:p>
          <w:p w:rsidR="00130229" w:rsidRPr="00030A3F" w:rsidRDefault="00B125C8">
            <w:pPr>
              <w:spacing w:before="120" w:after="0"/>
              <w:rPr>
                <w:rFonts w:ascii="Arial Narrow" w:hAnsi="Arial Narrow"/>
                <w:color w:val="000000" w:themeColor="text1"/>
                <w:lang w:val="en-GB"/>
              </w:rPr>
            </w:pPr>
            <w:r w:rsidRPr="00030A3F">
              <w:rPr>
                <w:rFonts w:ascii="Arial Narrow" w:hAnsi="Arial Narrow"/>
                <w:color w:val="000000" w:themeColor="text1"/>
                <w:lang w:val="en-GB"/>
              </w:rPr>
              <w:t>Such resolution is equivalent to a resolution of the committee and must be recorded in the minutes of the next meeting.</w:t>
            </w:r>
          </w:p>
        </w:tc>
      </w:tr>
      <w:tr w:rsidR="00130229">
        <w:tc>
          <w:tcPr>
            <w:tcW w:w="1967" w:type="dxa"/>
          </w:tcPr>
          <w:p w:rsidR="00130229" w:rsidRPr="00030A3F" w:rsidRDefault="00B125C8">
            <w:pPr>
              <w:spacing w:before="120" w:after="0"/>
              <w:jc w:val="left"/>
              <w:rPr>
                <w:rFonts w:ascii="Arial Narrow" w:hAnsi="Arial Narrow"/>
                <w:b/>
                <w:color w:val="000000" w:themeColor="text1"/>
                <w:lang w:val="en-GB"/>
              </w:rPr>
            </w:pPr>
            <w:r w:rsidRPr="00030A3F">
              <w:rPr>
                <w:rFonts w:ascii="Arial Narrow" w:hAnsi="Arial Narrow"/>
                <w:b/>
                <w:color w:val="000000" w:themeColor="text1"/>
                <w:lang w:val="en-GB"/>
              </w:rPr>
              <w:t>Resources and Budget</w:t>
            </w:r>
          </w:p>
        </w:tc>
        <w:tc>
          <w:tcPr>
            <w:tcW w:w="7128" w:type="dxa"/>
          </w:tcPr>
          <w:p w:rsidR="00130229" w:rsidRPr="00030A3F" w:rsidRDefault="00B125C8">
            <w:pPr>
              <w:spacing w:before="120" w:after="0"/>
              <w:jc w:val="left"/>
              <w:rPr>
                <w:rFonts w:ascii="Arial Narrow" w:hAnsi="Arial Narrow"/>
                <w:color w:val="000000" w:themeColor="text1"/>
                <w:lang w:val="en-GB"/>
              </w:rPr>
            </w:pPr>
            <w:r w:rsidRPr="00030A3F">
              <w:rPr>
                <w:rFonts w:ascii="Arial Narrow" w:hAnsi="Arial Narrow"/>
                <w:color w:val="000000" w:themeColor="text1"/>
                <w:lang w:val="en-GB"/>
              </w:rPr>
              <w:t xml:space="preserve">A centralised budget regarding the matters of this committee is managed within the </w:t>
            </w:r>
            <w:r w:rsidR="0061659D">
              <w:rPr>
                <w:rFonts w:ascii="Arial Narrow" w:hAnsi="Arial Narrow"/>
                <w:color w:val="000000" w:themeColor="text1"/>
                <w:lang w:val="en-GB"/>
              </w:rPr>
              <w:t>Qualifications and Academic Programme Planning Unit</w:t>
            </w:r>
            <w:r w:rsidRPr="00030A3F">
              <w:rPr>
                <w:rFonts w:ascii="Arial Narrow" w:hAnsi="Arial Narrow"/>
                <w:color w:val="000000" w:themeColor="text1"/>
                <w:lang w:val="en-GB"/>
              </w:rPr>
              <w:t>.</w:t>
            </w:r>
          </w:p>
          <w:p w:rsidR="00130229" w:rsidRPr="00030A3F" w:rsidRDefault="00B125C8">
            <w:pPr>
              <w:spacing w:before="120" w:after="0"/>
              <w:rPr>
                <w:rFonts w:ascii="Arial Narrow" w:hAnsi="Arial Narrow"/>
                <w:color w:val="000000" w:themeColor="text1"/>
                <w:lang w:val="en-GB"/>
              </w:rPr>
            </w:pPr>
            <w:r w:rsidRPr="00030A3F">
              <w:rPr>
                <w:rFonts w:ascii="Arial Narrow" w:hAnsi="Arial Narrow"/>
                <w:color w:val="000000" w:themeColor="text1"/>
                <w:lang w:val="en-GB"/>
              </w:rPr>
              <w:t xml:space="preserve">Members are responsible for their own travel </w:t>
            </w:r>
            <w:r w:rsidR="007500E1">
              <w:rPr>
                <w:rFonts w:ascii="Arial Narrow" w:hAnsi="Arial Narrow"/>
                <w:color w:val="000000" w:themeColor="text1"/>
                <w:lang w:val="en-GB"/>
              </w:rPr>
              <w:t xml:space="preserve">and accommodation </w:t>
            </w:r>
            <w:r w:rsidRPr="00030A3F">
              <w:rPr>
                <w:rFonts w:ascii="Arial Narrow" w:hAnsi="Arial Narrow"/>
                <w:color w:val="000000" w:themeColor="text1"/>
                <w:lang w:val="en-GB"/>
              </w:rPr>
              <w:t>costs.</w:t>
            </w:r>
            <w:r w:rsidRPr="00030A3F">
              <w:rPr>
                <w:rFonts w:ascii="Arial Narrow" w:hAnsi="Arial Narrow"/>
                <w:color w:val="808080" w:themeColor="background1" w:themeShade="80"/>
                <w:sz w:val="22"/>
                <w:szCs w:val="22"/>
                <w:vertAlign w:val="superscript"/>
                <w:lang w:val="en-GB"/>
              </w:rPr>
              <w:t xml:space="preserve"> </w:t>
            </w:r>
          </w:p>
        </w:tc>
      </w:tr>
      <w:tr w:rsidR="00130229">
        <w:tc>
          <w:tcPr>
            <w:tcW w:w="1967" w:type="dxa"/>
          </w:tcPr>
          <w:p w:rsidR="00130229" w:rsidRPr="00030A3F" w:rsidRDefault="00B125C8">
            <w:pPr>
              <w:spacing w:before="120" w:after="0"/>
              <w:jc w:val="left"/>
              <w:rPr>
                <w:rFonts w:ascii="Arial Narrow" w:hAnsi="Arial Narrow"/>
                <w:b/>
                <w:color w:val="000000" w:themeColor="text1"/>
                <w:lang w:val="en-GB"/>
              </w:rPr>
            </w:pPr>
            <w:r w:rsidRPr="00030A3F">
              <w:rPr>
                <w:rFonts w:ascii="Arial Narrow" w:hAnsi="Arial Narrow"/>
                <w:b/>
                <w:color w:val="000000" w:themeColor="text1"/>
                <w:lang w:val="en-GB"/>
              </w:rPr>
              <w:t>Records management</w:t>
            </w:r>
          </w:p>
        </w:tc>
        <w:tc>
          <w:tcPr>
            <w:tcW w:w="7128" w:type="dxa"/>
          </w:tcPr>
          <w:p w:rsidR="00130229" w:rsidRPr="00030A3F" w:rsidRDefault="00B125C8">
            <w:pPr>
              <w:spacing w:before="120" w:after="0"/>
              <w:rPr>
                <w:rFonts w:ascii="Arial Narrow" w:hAnsi="Arial Narrow"/>
                <w:color w:val="000000" w:themeColor="text1"/>
                <w:lang w:val="en-GB"/>
              </w:rPr>
            </w:pPr>
            <w:r w:rsidRPr="00030A3F">
              <w:rPr>
                <w:rFonts w:ascii="Arial Narrow" w:hAnsi="Arial Narrow"/>
                <w:color w:val="000000" w:themeColor="text1"/>
                <w:lang w:val="en-GB"/>
              </w:rPr>
              <w:t>All records of the committee (terms of reference, membership list, agendas, minutes, attendance register, correspondence, etc.) will be kept electronically (on</w:t>
            </w:r>
            <w:r w:rsidR="00DE0E31">
              <w:rPr>
                <w:rFonts w:ascii="Arial Narrow" w:hAnsi="Arial Narrow"/>
                <w:color w:val="000000" w:themeColor="text1"/>
                <w:lang w:val="en-GB"/>
              </w:rPr>
              <w:t xml:space="preserve"> the SCAS</w:t>
            </w:r>
            <w:r w:rsidR="0061659D">
              <w:rPr>
                <w:rFonts w:ascii="Arial Narrow" w:hAnsi="Arial Narrow"/>
                <w:color w:val="000000" w:themeColor="text1"/>
                <w:lang w:val="en-GB"/>
              </w:rPr>
              <w:t xml:space="preserve"> shared drive</w:t>
            </w:r>
            <w:r w:rsidRPr="00030A3F">
              <w:rPr>
                <w:rFonts w:ascii="Arial Narrow" w:hAnsi="Arial Narrow"/>
                <w:color w:val="000000" w:themeColor="text1"/>
                <w:lang w:val="en-GB"/>
              </w:rPr>
              <w:t>).</w:t>
            </w:r>
          </w:p>
          <w:p w:rsidR="00130229" w:rsidRPr="00030A3F" w:rsidRDefault="00130229">
            <w:pPr>
              <w:spacing w:before="120" w:after="0"/>
              <w:rPr>
                <w:rFonts w:ascii="Arial Narrow" w:hAnsi="Arial Narrow"/>
                <w:color w:val="000000" w:themeColor="text1"/>
                <w:lang w:val="en-GB"/>
              </w:rPr>
            </w:pPr>
          </w:p>
        </w:tc>
      </w:tr>
      <w:tr w:rsidR="007500E1">
        <w:tc>
          <w:tcPr>
            <w:tcW w:w="1967" w:type="dxa"/>
          </w:tcPr>
          <w:p w:rsidR="007500E1" w:rsidRPr="00030A3F" w:rsidRDefault="007500E1">
            <w:pPr>
              <w:spacing w:before="120" w:after="0"/>
              <w:jc w:val="left"/>
              <w:rPr>
                <w:rFonts w:ascii="Arial Narrow" w:hAnsi="Arial Narrow"/>
                <w:b/>
                <w:color w:val="000000" w:themeColor="text1"/>
                <w:lang w:val="en-GB"/>
              </w:rPr>
            </w:pPr>
            <w:r>
              <w:rPr>
                <w:rFonts w:ascii="Arial Narrow" w:hAnsi="Arial Narrow"/>
                <w:b/>
                <w:color w:val="000000" w:themeColor="text1"/>
                <w:lang w:val="en-GB"/>
              </w:rPr>
              <w:t>Access to records of the committee</w:t>
            </w:r>
          </w:p>
        </w:tc>
        <w:tc>
          <w:tcPr>
            <w:tcW w:w="7128" w:type="dxa"/>
          </w:tcPr>
          <w:p w:rsidR="007500E1" w:rsidRPr="00030A3F" w:rsidRDefault="007500E1">
            <w:pPr>
              <w:spacing w:before="120" w:after="0"/>
              <w:rPr>
                <w:rFonts w:ascii="Arial Narrow" w:hAnsi="Arial Narrow"/>
                <w:color w:val="000000" w:themeColor="text1"/>
                <w:lang w:val="en-GB"/>
              </w:rPr>
            </w:pPr>
            <w:r w:rsidRPr="00030A3F">
              <w:rPr>
                <w:rFonts w:ascii="Arial Narrow" w:hAnsi="Arial Narrow"/>
                <w:color w:val="000000" w:themeColor="text1"/>
                <w:lang w:val="en-GB"/>
              </w:rPr>
              <w:t>Committee members have automatic access to all records of the committee.  All other interested parties must complete a request form in terms of the Promotion of Access to Information Act, which will be assessed in terms of the prescriptions contained in the Act.</w:t>
            </w:r>
          </w:p>
        </w:tc>
      </w:tr>
    </w:tbl>
    <w:p w:rsidR="00130229" w:rsidRDefault="00B125C8" w:rsidP="0061659D">
      <w:pPr>
        <w:pStyle w:val="Heading1"/>
        <w:numPr>
          <w:ilvl w:val="0"/>
          <w:numId w:val="40"/>
        </w:numPr>
        <w:rPr>
          <w:color w:val="000000" w:themeColor="text1"/>
          <w:lang w:val="en-GB"/>
        </w:rPr>
      </w:pPr>
      <w:r>
        <w:rPr>
          <w:color w:val="000000" w:themeColor="text1"/>
          <w:lang w:val="en-GB"/>
        </w:rPr>
        <w:t>Reporting</w:t>
      </w:r>
    </w:p>
    <w:p w:rsidR="00130229" w:rsidRDefault="00B125C8">
      <w:pPr>
        <w:ind w:left="426"/>
        <w:rPr>
          <w:color w:val="000000" w:themeColor="text1"/>
          <w:lang w:val="en-GB"/>
        </w:rPr>
      </w:pPr>
      <w:r>
        <w:rPr>
          <w:color w:val="000000" w:themeColor="text1"/>
          <w:lang w:val="en-GB"/>
        </w:rPr>
        <w:t xml:space="preserve">This committee reports to Senate. </w:t>
      </w:r>
    </w:p>
    <w:p w:rsidR="00130229" w:rsidRDefault="00B125C8" w:rsidP="0061659D">
      <w:pPr>
        <w:pStyle w:val="Heading1"/>
        <w:numPr>
          <w:ilvl w:val="0"/>
          <w:numId w:val="40"/>
        </w:numPr>
        <w:ind w:left="567" w:hanging="567"/>
      </w:pPr>
      <w:r>
        <w:t>Guiding documents</w:t>
      </w:r>
    </w:p>
    <w:p w:rsidR="00130229" w:rsidRDefault="00B125C8" w:rsidP="00FC01CE">
      <w:pPr>
        <w:spacing w:after="360"/>
        <w:ind w:left="426"/>
        <w:rPr>
          <w:color w:val="000000" w:themeColor="text1"/>
          <w:lang w:val="en-GB"/>
        </w:rPr>
      </w:pPr>
      <w:r>
        <w:rPr>
          <w:color w:val="000000" w:themeColor="text1"/>
          <w:lang w:val="en-GB"/>
        </w:rPr>
        <w:t xml:space="preserve">The following documents guide the operations of this Committee and any subsequently approved national policy or communique as published in the Government Gazette or NWU policies as approved by Senate or the University Management Committee and ratified by Council:  </w:t>
      </w:r>
    </w:p>
    <w:tbl>
      <w:tblPr>
        <w:tblStyle w:val="TableGrid"/>
        <w:tblW w:w="9781" w:type="dxa"/>
        <w:tblInd w:w="137" w:type="dxa"/>
        <w:tblLook w:val="04A0" w:firstRow="1" w:lastRow="0" w:firstColumn="1" w:lastColumn="0" w:noHBand="0" w:noVBand="1"/>
      </w:tblPr>
      <w:tblGrid>
        <w:gridCol w:w="4820"/>
        <w:gridCol w:w="4961"/>
      </w:tblGrid>
      <w:tr w:rsidR="0016699B" w:rsidRPr="0016699B" w:rsidTr="003143AC">
        <w:tc>
          <w:tcPr>
            <w:tcW w:w="4820" w:type="dxa"/>
          </w:tcPr>
          <w:p w:rsidR="0016699B" w:rsidRPr="0016699B" w:rsidRDefault="0016699B" w:rsidP="0016699B">
            <w:pPr>
              <w:spacing w:before="120"/>
              <w:jc w:val="left"/>
              <w:rPr>
                <w:b/>
                <w:color w:val="000000"/>
                <w:lang w:val="en-GB"/>
              </w:rPr>
            </w:pPr>
            <w:r w:rsidRPr="0016699B">
              <w:rPr>
                <w:b/>
                <w:color w:val="000000"/>
                <w:lang w:val="en-GB"/>
              </w:rPr>
              <w:t>National regulatory framework</w:t>
            </w:r>
          </w:p>
        </w:tc>
        <w:tc>
          <w:tcPr>
            <w:tcW w:w="4961" w:type="dxa"/>
          </w:tcPr>
          <w:p w:rsidR="0016699B" w:rsidRPr="0016699B" w:rsidRDefault="0016699B" w:rsidP="0016699B">
            <w:pPr>
              <w:spacing w:before="120"/>
              <w:jc w:val="left"/>
              <w:rPr>
                <w:b/>
                <w:color w:val="000000"/>
                <w:lang w:val="en-GB"/>
              </w:rPr>
            </w:pPr>
            <w:r w:rsidRPr="0016699B">
              <w:rPr>
                <w:b/>
                <w:color w:val="000000"/>
                <w:lang w:val="en-GB"/>
              </w:rPr>
              <w:t>Authority</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Articulation Policy for the Post-School Education and Training System of South Africa</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 (Government Gazette 40545, 13 January 2017)</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Criteria for Programme Accreditation</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Council on Higher Education, Higher Education Quality Committee, Sept 2004, revised June 2012</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Training’s Position on online programme and course offerings</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 22 March 2017</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Distance Higher Education Programmes in a Digital Era:  Good Practice Guide</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Council on Higher Education, 2014</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Higher Education Act (101/1997) and subsequent Amendments to the Act</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 (Government Gazette 18515, 19 December 1997)</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Higher Education Qualifications Sub-Framework</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 (Government Gazette 38116, 17 October 2014)</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Learning to Teach in Higher Education in South Africa</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Council on Higher Education, Higher Education Monitor 14, 2017</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Level Descriptors for the South African national Qualifications Framework</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South African Qualifications Authority (Government Gazette 35548, 27 July 2012)</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Minimum Admission Requirements for Higher Certificate, Diploma and Bachelor’s Degree Programmes requiring a NSC/V</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 (Government Gazette 32743, November 2013)</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National Policy and Criteria for Designing and Implementing Assessment for NQF Qualifications and Part-Qualifications and Professional Designations in South Africa</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South African Qualifications Authority (Government Gazette 38246, 28 November 2014)</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National Qualifications Framework Act (67 of 2008)</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 (Government Gazette 32233, 22 May 2009)</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Policy and Criteria for the Registration of Qualifications and Part Qualifications on the National Qualifications Framework</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South African Qualifications Authority, March 2013</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Policy for the provision of distance education in South African universities</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 (Government Gazette 37811, 7 July 2014)</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Policies on the Recognition of Prior Learning, Credit Accumulation and Transfer, and Assessment in higher education</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Council on Higher Education, August 2016</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Revised Policy on the minimum requirements for Teacher Education Qualifications</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w:t>
            </w:r>
          </w:p>
          <w:p w:rsidR="0016699B" w:rsidRPr="0016699B" w:rsidRDefault="0016699B" w:rsidP="0016699B">
            <w:pPr>
              <w:spacing w:before="60" w:after="60"/>
              <w:jc w:val="left"/>
              <w:rPr>
                <w:color w:val="000000"/>
                <w:lang w:val="en-GB"/>
              </w:rPr>
            </w:pPr>
            <w:r w:rsidRPr="0016699B">
              <w:rPr>
                <w:color w:val="000000"/>
                <w:lang w:val="en-GB"/>
              </w:rPr>
              <w:t>(Government Gazette 38487, February 2015)</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Strategic Policy Framework on Disability for the Post-School Education and Training System</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 March 2018</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16699B">
              <w:rPr>
                <w:color w:val="000000"/>
                <w:lang w:val="en-GB"/>
              </w:rPr>
              <w:t>White Paper for Post-School Education and Training</w:t>
            </w:r>
          </w:p>
        </w:tc>
        <w:tc>
          <w:tcPr>
            <w:tcW w:w="4961" w:type="dxa"/>
          </w:tcPr>
          <w:p w:rsidR="0016699B" w:rsidRPr="0016699B" w:rsidRDefault="0016699B" w:rsidP="0016699B">
            <w:pPr>
              <w:spacing w:before="60" w:after="60"/>
              <w:jc w:val="left"/>
              <w:rPr>
                <w:color w:val="000000"/>
                <w:lang w:val="en-GB"/>
              </w:rPr>
            </w:pPr>
            <w:r w:rsidRPr="0016699B">
              <w:rPr>
                <w:color w:val="000000"/>
                <w:lang w:val="en-GB"/>
              </w:rPr>
              <w:t>Department of Higher Education and Training, 16 January 2014</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3A380D">
              <w:t>Work-integrated Learning Good Practice Guide</w:t>
            </w:r>
          </w:p>
        </w:tc>
        <w:tc>
          <w:tcPr>
            <w:tcW w:w="4961" w:type="dxa"/>
          </w:tcPr>
          <w:p w:rsidR="0016699B" w:rsidRPr="0016699B" w:rsidRDefault="0016699B" w:rsidP="0016699B">
            <w:pPr>
              <w:spacing w:before="60" w:after="60"/>
              <w:jc w:val="left"/>
              <w:rPr>
                <w:color w:val="000000"/>
                <w:lang w:val="en-GB"/>
              </w:rPr>
            </w:pPr>
            <w:r w:rsidRPr="003A380D">
              <w:t>Council on Higher Education, 2011</w:t>
            </w:r>
          </w:p>
        </w:tc>
      </w:tr>
      <w:tr w:rsidR="0016699B" w:rsidRPr="0016699B" w:rsidTr="003143AC">
        <w:tc>
          <w:tcPr>
            <w:tcW w:w="4820" w:type="dxa"/>
          </w:tcPr>
          <w:p w:rsidR="0016699B" w:rsidRPr="0016699B" w:rsidRDefault="0016699B" w:rsidP="0016699B">
            <w:pPr>
              <w:spacing w:before="60" w:after="60"/>
              <w:jc w:val="left"/>
              <w:rPr>
                <w:color w:val="000000"/>
                <w:lang w:val="en-GB"/>
              </w:rPr>
            </w:pPr>
            <w:r w:rsidRPr="003A380D">
              <w:t>Classification of Educational Subject Matter</w:t>
            </w:r>
          </w:p>
        </w:tc>
        <w:tc>
          <w:tcPr>
            <w:tcW w:w="4961" w:type="dxa"/>
          </w:tcPr>
          <w:p w:rsidR="0016699B" w:rsidRPr="0016699B" w:rsidRDefault="0016699B" w:rsidP="0016699B">
            <w:pPr>
              <w:spacing w:before="60" w:after="60"/>
              <w:jc w:val="left"/>
              <w:rPr>
                <w:color w:val="000000"/>
                <w:lang w:val="en-GB"/>
              </w:rPr>
            </w:pPr>
            <w:r w:rsidRPr="003A380D">
              <w:t xml:space="preserve">Department of Basic Education , </w:t>
            </w:r>
            <w:r w:rsidRPr="0016699B">
              <w:t>1982</w:t>
            </w:r>
          </w:p>
        </w:tc>
      </w:tr>
    </w:tbl>
    <w:p w:rsidR="0016699B" w:rsidRDefault="0016699B">
      <w:pPr>
        <w:ind w:left="426"/>
        <w:rPr>
          <w:color w:val="000000" w:themeColor="text1"/>
          <w:lang w:val="en-GB"/>
        </w:rPr>
      </w:pPr>
    </w:p>
    <w:p w:rsidR="0016699B" w:rsidRDefault="0016699B">
      <w:pPr>
        <w:ind w:left="426"/>
        <w:rPr>
          <w:color w:val="000000" w:themeColor="text1"/>
          <w:lang w:val="en-GB"/>
        </w:rPr>
      </w:pP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2"/>
        <w:gridCol w:w="1418"/>
        <w:gridCol w:w="1264"/>
        <w:gridCol w:w="2274"/>
      </w:tblGrid>
      <w:tr w:rsidR="00130229" w:rsidRPr="00FC01CE" w:rsidTr="008378AB">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0229" w:rsidRPr="00FC01CE" w:rsidRDefault="00043CCB" w:rsidP="00FC01CE">
            <w:pPr>
              <w:spacing w:before="120"/>
              <w:jc w:val="left"/>
              <w:rPr>
                <w:b/>
                <w:color w:val="000000" w:themeColor="text1"/>
                <w:sz w:val="22"/>
                <w:szCs w:val="22"/>
                <w:lang w:val="en-GB"/>
              </w:rPr>
            </w:pPr>
            <w:r w:rsidRPr="00FC01CE">
              <w:rPr>
                <w:b/>
                <w:color w:val="000000" w:themeColor="text1"/>
                <w:sz w:val="22"/>
                <w:szCs w:val="22"/>
                <w:lang w:val="en-GB"/>
              </w:rPr>
              <w:t>Institutional regulatory framework</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0229" w:rsidRPr="00FC01CE" w:rsidRDefault="00B125C8" w:rsidP="00FC01CE">
            <w:pPr>
              <w:spacing w:before="120"/>
              <w:jc w:val="center"/>
              <w:rPr>
                <w:b/>
                <w:color w:val="000000" w:themeColor="text1"/>
                <w:sz w:val="22"/>
                <w:szCs w:val="22"/>
                <w:lang w:val="en-GB"/>
              </w:rPr>
            </w:pPr>
            <w:r w:rsidRPr="00FC01CE">
              <w:rPr>
                <w:b/>
                <w:color w:val="000000" w:themeColor="text1"/>
                <w:sz w:val="22"/>
                <w:szCs w:val="22"/>
                <w:lang w:val="en-GB"/>
              </w:rPr>
              <w:t>Status</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0229" w:rsidRPr="00FC01CE" w:rsidRDefault="00B125C8" w:rsidP="00FC01CE">
            <w:pPr>
              <w:spacing w:before="120"/>
              <w:jc w:val="center"/>
              <w:rPr>
                <w:b/>
                <w:color w:val="000000" w:themeColor="text1"/>
                <w:sz w:val="22"/>
                <w:szCs w:val="22"/>
                <w:lang w:val="en-GB"/>
              </w:rPr>
            </w:pPr>
            <w:r w:rsidRPr="00FC01CE">
              <w:rPr>
                <w:b/>
                <w:color w:val="000000" w:themeColor="text1"/>
                <w:sz w:val="22"/>
                <w:szCs w:val="22"/>
                <w:lang w:val="en-GB"/>
              </w:rPr>
              <w:t>Authority</w:t>
            </w:r>
          </w:p>
        </w:tc>
        <w:tc>
          <w:tcPr>
            <w:tcW w:w="2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0229" w:rsidRPr="00FC01CE" w:rsidRDefault="00B125C8" w:rsidP="00FC01CE">
            <w:pPr>
              <w:spacing w:before="120"/>
              <w:jc w:val="center"/>
              <w:rPr>
                <w:b/>
                <w:color w:val="000000" w:themeColor="text1"/>
                <w:sz w:val="22"/>
                <w:szCs w:val="22"/>
                <w:lang w:val="en-GB"/>
              </w:rPr>
            </w:pPr>
            <w:r w:rsidRPr="00FC01CE">
              <w:rPr>
                <w:b/>
                <w:color w:val="000000" w:themeColor="text1"/>
                <w:sz w:val="22"/>
                <w:szCs w:val="22"/>
                <w:lang w:val="en-GB"/>
              </w:rPr>
              <w:t>Date</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rFonts w:cs="Arial"/>
                <w:lang w:val="en-GB"/>
              </w:rPr>
            </w:pPr>
            <w:r>
              <w:rPr>
                <w:rFonts w:cs="Arial"/>
                <w:lang w:val="en-GB"/>
              </w:rPr>
              <w:t>Academic Programme Management Policy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left"/>
              <w:rPr>
                <w:color w:val="000000" w:themeColor="text1"/>
                <w:lang w:val="en-GB"/>
              </w:rPr>
            </w:pPr>
            <w:r>
              <w:rPr>
                <w:color w:val="000000" w:themeColor="text1"/>
                <w:lang w:val="en-GB"/>
              </w:rPr>
              <w:t>20 June 2008</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color w:val="000000" w:themeColor="text1"/>
                <w:lang w:val="en-GB"/>
              </w:rPr>
            </w:pPr>
            <w:r>
              <w:rPr>
                <w:color w:val="000000" w:themeColor="text1"/>
                <w:lang w:val="en-GB"/>
              </w:rPr>
              <w:t>Assessment and Moderation Policy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left"/>
              <w:rPr>
                <w:color w:val="000000" w:themeColor="text1"/>
                <w:lang w:val="en-GB"/>
              </w:rPr>
            </w:pPr>
            <w:r>
              <w:rPr>
                <w:color w:val="000000" w:themeColor="text1"/>
                <w:lang w:val="en-GB"/>
              </w:rPr>
              <w:t>22 June 2007</w:t>
            </w:r>
          </w:p>
        </w:tc>
      </w:tr>
      <w:tr w:rsidR="00043CCB"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043CCB" w:rsidRDefault="00043CCB" w:rsidP="00FC01CE">
            <w:pPr>
              <w:spacing w:before="120" w:after="0"/>
              <w:jc w:val="left"/>
              <w:rPr>
                <w:color w:val="000000" w:themeColor="text1"/>
                <w:lang w:val="en-GB"/>
              </w:rPr>
            </w:pPr>
            <w:r>
              <w:rPr>
                <w:color w:val="000000" w:themeColor="text1"/>
                <w:lang w:val="en-GB"/>
              </w:rPr>
              <w:t>General Academic Rules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3CCB" w:rsidRDefault="00043CCB"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43CCB" w:rsidRDefault="00043CCB"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043CCB" w:rsidRDefault="00043CCB" w:rsidP="00FC01CE">
            <w:pPr>
              <w:spacing w:before="120" w:after="0"/>
              <w:jc w:val="left"/>
              <w:rPr>
                <w:color w:val="000000" w:themeColor="text1"/>
                <w:lang w:val="en-GB"/>
              </w:rPr>
            </w:pPr>
            <w:r>
              <w:rPr>
                <w:color w:val="000000" w:themeColor="text1"/>
                <w:lang w:val="en-GB"/>
              </w:rPr>
              <w:t>21 September 2017</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rFonts w:cs="Arial"/>
                <w:lang w:val="en-GB"/>
              </w:rPr>
            </w:pPr>
            <w:r>
              <w:rPr>
                <w:rFonts w:cs="Arial"/>
                <w:lang w:val="en-GB"/>
              </w:rPr>
              <w:t>Library and Information Services Policy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left"/>
              <w:rPr>
                <w:color w:val="000000" w:themeColor="text1"/>
                <w:lang w:val="en-GB"/>
              </w:rPr>
            </w:pPr>
            <w:r>
              <w:rPr>
                <w:color w:val="000000" w:themeColor="text1"/>
                <w:lang w:val="en-GB"/>
              </w:rPr>
              <w:t>28 March 2018</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rFonts w:cs="Arial"/>
                <w:lang w:val="en-GB"/>
              </w:rPr>
            </w:pPr>
            <w:r>
              <w:rPr>
                <w:rFonts w:cs="Arial"/>
                <w:lang w:val="en-GB"/>
              </w:rPr>
              <w:t>Plagiarism and other forms of academic dishonesty and misconduct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left"/>
              <w:rPr>
                <w:color w:val="000000" w:themeColor="text1"/>
                <w:lang w:val="en-GB"/>
              </w:rPr>
            </w:pPr>
            <w:r>
              <w:rPr>
                <w:color w:val="000000" w:themeColor="text1"/>
                <w:lang w:val="en-GB"/>
              </w:rPr>
              <w:t>10 June 2011</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color w:val="000000" w:themeColor="text1"/>
                <w:lang w:val="en-GB"/>
              </w:rPr>
            </w:pPr>
            <w:r>
              <w:rPr>
                <w:rFonts w:cs="Arial"/>
                <w:lang w:val="en-GB"/>
              </w:rPr>
              <w:t>Recognition of Prior Learning Policy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left"/>
              <w:rPr>
                <w:color w:val="000000" w:themeColor="text1"/>
                <w:lang w:val="en-GB"/>
              </w:rPr>
            </w:pPr>
            <w:r>
              <w:rPr>
                <w:color w:val="000000" w:themeColor="text1"/>
                <w:lang w:val="en-GB"/>
              </w:rPr>
              <w:t>21 September 2007</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color w:val="000000" w:themeColor="text1"/>
                <w:lang w:val="en-GB"/>
              </w:rPr>
            </w:pPr>
            <w:r>
              <w:rPr>
                <w:color w:val="000000" w:themeColor="text1"/>
                <w:lang w:val="en-GB"/>
              </w:rPr>
              <w:t>Study Guide Policy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left"/>
              <w:rPr>
                <w:color w:val="000000" w:themeColor="text1"/>
                <w:lang w:val="en-GB"/>
              </w:rPr>
            </w:pPr>
            <w:r>
              <w:rPr>
                <w:color w:val="000000" w:themeColor="text1"/>
                <w:lang w:val="en-GB"/>
              </w:rPr>
              <w:t>21 September 2007</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color w:val="000000" w:themeColor="text1"/>
                <w:lang w:val="en-GB"/>
              </w:rPr>
            </w:pPr>
            <w:r>
              <w:rPr>
                <w:color w:val="000000" w:themeColor="text1"/>
                <w:lang w:val="en-GB"/>
              </w:rPr>
              <w:t>Teaching and Learning Policy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left"/>
              <w:rPr>
                <w:color w:val="000000" w:themeColor="text1"/>
                <w:lang w:val="en-GB"/>
              </w:rPr>
            </w:pPr>
            <w:r>
              <w:rPr>
                <w:color w:val="000000" w:themeColor="text1"/>
                <w:lang w:val="en-GB"/>
              </w:rPr>
              <w:t>22 June 2007</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color w:val="000000" w:themeColor="text1"/>
                <w:lang w:val="en-GB"/>
              </w:rPr>
            </w:pPr>
            <w:r>
              <w:rPr>
                <w:color w:val="000000" w:themeColor="text1"/>
                <w:lang w:val="en-GB"/>
              </w:rPr>
              <w:t>Work-Integrated Learning and Service Learning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left"/>
              <w:rPr>
                <w:color w:val="000000" w:themeColor="text1"/>
                <w:lang w:val="en-GB"/>
              </w:rPr>
            </w:pPr>
            <w:r>
              <w:rPr>
                <w:color w:val="000000" w:themeColor="text1"/>
                <w:lang w:val="en-GB"/>
              </w:rPr>
              <w:t>23 June 2016</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rFonts w:cs="Arial"/>
                <w:lang w:val="en-GB"/>
              </w:rPr>
            </w:pPr>
            <w:r>
              <w:rPr>
                <w:rFonts w:cs="Arial"/>
                <w:iCs/>
                <w:lang w:val="en-GB"/>
              </w:rPr>
              <w:t xml:space="preserve">Presentation of Short Courses at the NWU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before="120" w:after="0"/>
              <w:jc w:val="left"/>
              <w:rPr>
                <w:color w:val="000000" w:themeColor="text1"/>
                <w:lang w:val="en-GB"/>
              </w:rPr>
            </w:pPr>
            <w:r>
              <w:rPr>
                <w:color w:val="000000" w:themeColor="text1"/>
                <w:lang w:val="en-GB"/>
              </w:rPr>
              <w:t>17 September 2010</w:t>
            </w:r>
          </w:p>
        </w:tc>
      </w:tr>
      <w:tr w:rsidR="00130229" w:rsidTr="008378AB">
        <w:tc>
          <w:tcPr>
            <w:tcW w:w="4252" w:type="dxa"/>
            <w:tcBorders>
              <w:top w:val="single" w:sz="4" w:space="0" w:color="auto"/>
              <w:left w:val="single" w:sz="4" w:space="0" w:color="auto"/>
              <w:bottom w:val="single" w:sz="4" w:space="0" w:color="auto"/>
              <w:right w:val="single" w:sz="4" w:space="0" w:color="auto"/>
            </w:tcBorders>
            <w:shd w:val="clear" w:color="auto" w:fill="auto"/>
          </w:tcPr>
          <w:p w:rsidR="00130229" w:rsidRDefault="00B125C8" w:rsidP="00FC01CE">
            <w:pPr>
              <w:spacing w:before="120" w:after="0"/>
              <w:jc w:val="left"/>
              <w:rPr>
                <w:rFonts w:cs="Arial"/>
                <w:lang w:val="en-GB"/>
              </w:rPr>
            </w:pPr>
            <w:r>
              <w:rPr>
                <w:rFonts w:cs="Arial"/>
                <w:lang w:val="en-GB"/>
              </w:rPr>
              <w:t>Quality Policy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after="0"/>
              <w:jc w:val="center"/>
              <w:rPr>
                <w:color w:val="000000" w:themeColor="text1"/>
                <w:lang w:val="en-GB"/>
              </w:rPr>
            </w:pPr>
            <w:r>
              <w:rPr>
                <w:color w:val="000000" w:themeColor="text1"/>
                <w:lang w:val="en-GB"/>
              </w:rPr>
              <w:t>Approved</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after="0"/>
              <w:jc w:val="center"/>
              <w:rPr>
                <w:color w:val="000000" w:themeColor="text1"/>
                <w:lang w:val="en-GB"/>
              </w:rPr>
            </w:pPr>
            <w:r>
              <w:rPr>
                <w:color w:val="000000" w:themeColor="text1"/>
                <w:lang w:val="en-GB"/>
              </w:rPr>
              <w:t>Council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30229" w:rsidRDefault="00B125C8" w:rsidP="00FC01CE">
            <w:pPr>
              <w:spacing w:after="0"/>
              <w:jc w:val="left"/>
              <w:rPr>
                <w:color w:val="000000" w:themeColor="text1"/>
                <w:lang w:val="en-GB"/>
              </w:rPr>
            </w:pPr>
            <w:r>
              <w:rPr>
                <w:color w:val="000000" w:themeColor="text1"/>
                <w:lang w:val="en-GB"/>
              </w:rPr>
              <w:t>November 2016</w:t>
            </w:r>
          </w:p>
        </w:tc>
      </w:tr>
    </w:tbl>
    <w:p w:rsidR="00130229" w:rsidRDefault="00130229">
      <w:pPr>
        <w:ind w:left="426"/>
        <w:rPr>
          <w:color w:val="000000" w:themeColor="text1"/>
          <w:lang w:val="en-GB"/>
        </w:rPr>
      </w:pPr>
    </w:p>
    <w:p w:rsidR="00130229" w:rsidRDefault="00B125C8">
      <w:pPr>
        <w:ind w:firstLine="426"/>
      </w:pPr>
      <w:r>
        <w:t xml:space="preserve">This terms of reference was approved by Senate on </w:t>
      </w:r>
      <w:r w:rsidR="00F110FB">
        <w:t>___________________</w:t>
      </w:r>
      <w:r>
        <w:t xml:space="preserve">. </w:t>
      </w:r>
    </w:p>
    <w:p w:rsidR="00130229" w:rsidRDefault="00130229">
      <w:pPr>
        <w:pStyle w:val="DocSource"/>
      </w:pPr>
    </w:p>
    <w:p w:rsidR="00130229" w:rsidRDefault="00130229">
      <w:pPr>
        <w:pStyle w:val="DocSource"/>
      </w:pPr>
    </w:p>
    <w:sectPr w:rsidR="00130229">
      <w:footerReference w:type="default" r:id="rId8"/>
      <w:pgSz w:w="11907" w:h="16840" w:code="9"/>
      <w:pgMar w:top="851" w:right="1134" w:bottom="1134" w:left="1134" w:header="567" w:footer="9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54" w:rsidRDefault="00170854">
      <w:pPr>
        <w:spacing w:after="0"/>
      </w:pPr>
      <w:r>
        <w:separator/>
      </w:r>
    </w:p>
  </w:endnote>
  <w:endnote w:type="continuationSeparator" w:id="0">
    <w:p w:rsidR="00170854" w:rsidRDefault="001708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FD" w:rsidRDefault="00AE20FD">
    <w:pPr>
      <w:pStyle w:val="Footer"/>
      <w:rPr>
        <w:b w:val="0"/>
        <w:sz w:val="20"/>
        <w:szCs w:val="20"/>
      </w:rPr>
    </w:pPr>
    <w:r>
      <w:rPr>
        <w:b w:val="0"/>
        <w:color w:val="A6A6A6" w:themeColor="background1" w:themeShade="A6"/>
      </w:rPr>
      <w:fldChar w:fldCharType="begin"/>
    </w:r>
    <w:r>
      <w:rPr>
        <w:b w:val="0"/>
        <w:color w:val="A6A6A6" w:themeColor="background1" w:themeShade="A6"/>
      </w:rPr>
      <w:instrText xml:space="preserve"> FILENAME   \* MERGEFORMAT </w:instrText>
    </w:r>
    <w:r>
      <w:rPr>
        <w:b w:val="0"/>
        <w:color w:val="A6A6A6" w:themeColor="background1" w:themeShade="A6"/>
      </w:rPr>
      <w:fldChar w:fldCharType="separate"/>
    </w:r>
    <w:r>
      <w:rPr>
        <w:b w:val="0"/>
        <w:noProof/>
        <w:color w:val="A6A6A6" w:themeColor="background1" w:themeShade="A6"/>
      </w:rPr>
      <w:t xml:space="preserve">ToR SCTL - approved by Senate </w:t>
    </w:r>
    <w:r>
      <w:rPr>
        <w:b w:val="0"/>
        <w:noProof/>
        <w:color w:val="A6A6A6" w:themeColor="background1" w:themeShade="A6"/>
      </w:rPr>
      <w:fldChar w:fldCharType="end"/>
    </w:r>
    <w:r>
      <w:rPr>
        <w:b w:val="0"/>
        <w:noProof/>
        <w:color w:val="A6A6A6" w:themeColor="background1" w:themeShade="A6"/>
      </w:rPr>
      <w:t>on 1 November 2017</w:t>
    </w:r>
    <w:r>
      <w:tab/>
    </w:r>
    <w:r>
      <w:rPr>
        <w:b w:val="0"/>
        <w:sz w:val="20"/>
        <w:szCs w:val="2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164699">
      <w:rPr>
        <w:rStyle w:val="PageNumber"/>
        <w:b w:val="0"/>
        <w:noProof/>
      </w:rPr>
      <w:t>3</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 MERGEFORMAT </w:instrText>
    </w:r>
    <w:r>
      <w:rPr>
        <w:rStyle w:val="PageNumber"/>
        <w:b w:val="0"/>
      </w:rPr>
      <w:fldChar w:fldCharType="separate"/>
    </w:r>
    <w:r w:rsidR="00164699">
      <w:rPr>
        <w:rStyle w:val="PageNumber"/>
        <w:b w:val="0"/>
        <w:noProof/>
      </w:rPr>
      <w:t>6</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54" w:rsidRDefault="00170854">
      <w:pPr>
        <w:spacing w:after="0"/>
      </w:pPr>
      <w:r>
        <w:separator/>
      </w:r>
    </w:p>
  </w:footnote>
  <w:footnote w:type="continuationSeparator" w:id="0">
    <w:p w:rsidR="00170854" w:rsidRDefault="0017085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18394A"/>
    <w:multiLevelType w:val="hybridMultilevel"/>
    <w:tmpl w:val="FDC2B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4CC7DA9"/>
    <w:multiLevelType w:val="hybridMultilevel"/>
    <w:tmpl w:val="417E1526"/>
    <w:lvl w:ilvl="0" w:tplc="1C090001">
      <w:start w:val="1"/>
      <w:numFmt w:val="bullet"/>
      <w:lvlText w:val=""/>
      <w:lvlJc w:val="left"/>
      <w:pPr>
        <w:ind w:left="938" w:hanging="360"/>
      </w:pPr>
      <w:rPr>
        <w:rFonts w:ascii="Symbol" w:hAnsi="Symbo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13" w15:restartNumberingAfterBreak="0">
    <w:nsid w:val="195D3DA8"/>
    <w:multiLevelType w:val="hybridMultilevel"/>
    <w:tmpl w:val="D812B78E"/>
    <w:lvl w:ilvl="0" w:tplc="1C09000F">
      <w:start w:val="6"/>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19B15850"/>
    <w:multiLevelType w:val="hybridMultilevel"/>
    <w:tmpl w:val="3176E2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2C793F"/>
    <w:multiLevelType w:val="hybridMultilevel"/>
    <w:tmpl w:val="7E38AE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C54884"/>
    <w:multiLevelType w:val="hybridMultilevel"/>
    <w:tmpl w:val="522CF9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6D853FA"/>
    <w:multiLevelType w:val="hybridMultilevel"/>
    <w:tmpl w:val="B316E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3DA7739"/>
    <w:multiLevelType w:val="hybridMultilevel"/>
    <w:tmpl w:val="29E6C0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DC44037"/>
    <w:multiLevelType w:val="hybridMultilevel"/>
    <w:tmpl w:val="F0DE34E2"/>
    <w:lvl w:ilvl="0" w:tplc="3586D800">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3FEA4283"/>
    <w:multiLevelType w:val="hybridMultilevel"/>
    <w:tmpl w:val="CCD82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0971B48"/>
    <w:multiLevelType w:val="hybridMultilevel"/>
    <w:tmpl w:val="8E887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777625"/>
    <w:multiLevelType w:val="hybridMultilevel"/>
    <w:tmpl w:val="94CCC1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68657C"/>
    <w:multiLevelType w:val="hybridMultilevel"/>
    <w:tmpl w:val="1F02EB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5BAD452E"/>
    <w:multiLevelType w:val="hybridMultilevel"/>
    <w:tmpl w:val="FB4C3D7E"/>
    <w:lvl w:ilvl="0" w:tplc="1C09000F">
      <w:start w:val="1"/>
      <w:numFmt w:val="decimal"/>
      <w:lvlText w:val="%1."/>
      <w:lvlJc w:val="left"/>
      <w:pPr>
        <w:ind w:left="1146" w:hanging="360"/>
      </w:pPr>
      <w:rPr>
        <w:rFonts w:hint="default"/>
      </w:rPr>
    </w:lvl>
    <w:lvl w:ilvl="1" w:tplc="1C090003">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1"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2923DA0"/>
    <w:multiLevelType w:val="multilevel"/>
    <w:tmpl w:val="54166B96"/>
    <w:lvl w:ilvl="0">
      <w:start w:val="1"/>
      <w:numFmt w:val="decimal"/>
      <w:pStyle w:val="Heading1"/>
      <w:lvlText w:val="%1"/>
      <w:lvlJc w:val="left"/>
      <w:pPr>
        <w:tabs>
          <w:tab w:val="num" w:pos="8371"/>
        </w:tabs>
        <w:ind w:left="8371"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8183068"/>
    <w:multiLevelType w:val="hybridMultilevel"/>
    <w:tmpl w:val="74A8CE62"/>
    <w:lvl w:ilvl="0" w:tplc="1C090001">
      <w:start w:val="1"/>
      <w:numFmt w:val="bullet"/>
      <w:lvlText w:val=""/>
      <w:lvlJc w:val="left"/>
      <w:pPr>
        <w:ind w:left="938" w:hanging="360"/>
      </w:pPr>
      <w:rPr>
        <w:rFonts w:ascii="Symbol" w:hAnsi="Symbo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34" w15:restartNumberingAfterBreak="0">
    <w:nsid w:val="68223446"/>
    <w:multiLevelType w:val="hybridMultilevel"/>
    <w:tmpl w:val="3DEC16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12155C"/>
    <w:multiLevelType w:val="hybridMultilevel"/>
    <w:tmpl w:val="29B42E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5"/>
  </w:num>
  <w:num w:numId="14">
    <w:abstractNumId w:val="31"/>
  </w:num>
  <w:num w:numId="15">
    <w:abstractNumId w:val="10"/>
  </w:num>
  <w:num w:numId="16">
    <w:abstractNumId w:val="22"/>
  </w:num>
  <w:num w:numId="17">
    <w:abstractNumId w:val="21"/>
  </w:num>
  <w:num w:numId="18">
    <w:abstractNumId w:val="17"/>
  </w:num>
  <w:num w:numId="19">
    <w:abstractNumId w:val="28"/>
  </w:num>
  <w:num w:numId="20">
    <w:abstractNumId w:val="36"/>
  </w:num>
  <w:num w:numId="21">
    <w:abstractNumId w:val="16"/>
  </w:num>
  <w:num w:numId="22">
    <w:abstractNumId w:val="3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0"/>
  </w:num>
  <w:num w:numId="26">
    <w:abstractNumId w:val="1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4"/>
  </w:num>
  <w:num w:numId="30">
    <w:abstractNumId w:val="25"/>
  </w:num>
  <w:num w:numId="31">
    <w:abstractNumId w:val="34"/>
  </w:num>
  <w:num w:numId="32">
    <w:abstractNumId w:val="11"/>
  </w:num>
  <w:num w:numId="33">
    <w:abstractNumId w:val="15"/>
  </w:num>
  <w:num w:numId="34">
    <w:abstractNumId w:val="33"/>
  </w:num>
  <w:num w:numId="35">
    <w:abstractNumId w:val="12"/>
  </w:num>
  <w:num w:numId="36">
    <w:abstractNumId w:val="37"/>
  </w:num>
  <w:num w:numId="37">
    <w:abstractNumId w:val="29"/>
  </w:num>
  <w:num w:numId="38">
    <w:abstractNumId w:val="27"/>
  </w:num>
  <w:num w:numId="39">
    <w:abstractNumId w:val="23"/>
  </w:num>
  <w:num w:numId="40">
    <w:abstractNumId w:val="13"/>
  </w:num>
  <w:num w:numId="4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29"/>
    <w:rsid w:val="00014423"/>
    <w:rsid w:val="00030A3F"/>
    <w:rsid w:val="00032386"/>
    <w:rsid w:val="00043CCB"/>
    <w:rsid w:val="00073D11"/>
    <w:rsid w:val="000F12DB"/>
    <w:rsid w:val="00111F1E"/>
    <w:rsid w:val="00121870"/>
    <w:rsid w:val="00130229"/>
    <w:rsid w:val="00164699"/>
    <w:rsid w:val="0016699B"/>
    <w:rsid w:val="00170854"/>
    <w:rsid w:val="001D5FA0"/>
    <w:rsid w:val="00237092"/>
    <w:rsid w:val="002934C0"/>
    <w:rsid w:val="002E48CF"/>
    <w:rsid w:val="00314D66"/>
    <w:rsid w:val="003305A2"/>
    <w:rsid w:val="003F6B6C"/>
    <w:rsid w:val="00442562"/>
    <w:rsid w:val="00474F0C"/>
    <w:rsid w:val="00497896"/>
    <w:rsid w:val="004D1FCC"/>
    <w:rsid w:val="00536335"/>
    <w:rsid w:val="005550BE"/>
    <w:rsid w:val="00562CA3"/>
    <w:rsid w:val="005912E6"/>
    <w:rsid w:val="005E1FAF"/>
    <w:rsid w:val="005E3A67"/>
    <w:rsid w:val="00600ABB"/>
    <w:rsid w:val="0060510E"/>
    <w:rsid w:val="0061659D"/>
    <w:rsid w:val="00646B78"/>
    <w:rsid w:val="006905CB"/>
    <w:rsid w:val="006A0199"/>
    <w:rsid w:val="006C7DF7"/>
    <w:rsid w:val="006F7618"/>
    <w:rsid w:val="00705030"/>
    <w:rsid w:val="00725782"/>
    <w:rsid w:val="00744D57"/>
    <w:rsid w:val="007500E1"/>
    <w:rsid w:val="007A31E2"/>
    <w:rsid w:val="008378AB"/>
    <w:rsid w:val="00883131"/>
    <w:rsid w:val="008D5F65"/>
    <w:rsid w:val="008E6225"/>
    <w:rsid w:val="008F539E"/>
    <w:rsid w:val="00970AF2"/>
    <w:rsid w:val="00A0574B"/>
    <w:rsid w:val="00A403CB"/>
    <w:rsid w:val="00A96586"/>
    <w:rsid w:val="00AA4271"/>
    <w:rsid w:val="00AB0FE5"/>
    <w:rsid w:val="00AE20FD"/>
    <w:rsid w:val="00B125C8"/>
    <w:rsid w:val="00B83E81"/>
    <w:rsid w:val="00B9118D"/>
    <w:rsid w:val="00C444B1"/>
    <w:rsid w:val="00C52256"/>
    <w:rsid w:val="00C64023"/>
    <w:rsid w:val="00C857C4"/>
    <w:rsid w:val="00CD611E"/>
    <w:rsid w:val="00D07958"/>
    <w:rsid w:val="00D34B4E"/>
    <w:rsid w:val="00D450FD"/>
    <w:rsid w:val="00DC4462"/>
    <w:rsid w:val="00DE0E31"/>
    <w:rsid w:val="00DE2F8D"/>
    <w:rsid w:val="00DE49CB"/>
    <w:rsid w:val="00DE72A9"/>
    <w:rsid w:val="00E15753"/>
    <w:rsid w:val="00E7576F"/>
    <w:rsid w:val="00E82717"/>
    <w:rsid w:val="00F110FB"/>
    <w:rsid w:val="00F36518"/>
    <w:rsid w:val="00F734DC"/>
    <w:rsid w:val="00FC01CE"/>
    <w:rsid w:val="00FC5E26"/>
    <w:rsid w:val="00FE2BC2"/>
    <w:rsid w:val="00FE750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3814F"/>
  <w15:docId w15:val="{91525FC8-01FD-4B26-9865-24BBBD5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Arial" w:hAnsi="Arial"/>
      <w:lang w:eastAsia="en-US"/>
    </w:rPr>
  </w:style>
  <w:style w:type="paragraph" w:styleId="Heading1">
    <w:name w:val="heading 1"/>
    <w:basedOn w:val="Normal"/>
    <w:next w:val="Normal"/>
    <w:link w:val="Heading1Char"/>
    <w:qFormat/>
    <w:pPr>
      <w:keepNext/>
      <w:numPr>
        <w:numId w:val="22"/>
      </w:numPr>
      <w:spacing w:before="240"/>
      <w:outlineLvl w:val="0"/>
    </w:pPr>
    <w:rPr>
      <w:rFonts w:cs="Arial"/>
      <w:b/>
      <w:bCs/>
      <w:kern w:val="32"/>
      <w:sz w:val="24"/>
      <w:szCs w:val="24"/>
    </w:rPr>
  </w:style>
  <w:style w:type="paragraph" w:styleId="Heading2">
    <w:name w:val="heading 2"/>
    <w:basedOn w:val="Normal"/>
    <w:next w:val="Normal"/>
    <w:link w:val="Heading2Char"/>
    <w:qFormat/>
    <w:pPr>
      <w:keepNext/>
      <w:numPr>
        <w:ilvl w:val="1"/>
        <w:numId w:val="22"/>
      </w:numPr>
      <w:spacing w:before="240"/>
      <w:ind w:left="578" w:hanging="578"/>
      <w:outlineLvl w:val="1"/>
    </w:pPr>
    <w:rPr>
      <w:rFonts w:cs="Arial"/>
      <w:b/>
      <w:bCs/>
      <w:iCs/>
      <w:sz w:val="22"/>
      <w:szCs w:val="22"/>
    </w:rPr>
  </w:style>
  <w:style w:type="paragraph" w:styleId="Heading3">
    <w:name w:val="heading 3"/>
    <w:basedOn w:val="Normal"/>
    <w:next w:val="Normal"/>
    <w:qFormat/>
    <w:pPr>
      <w:keepNext/>
      <w:numPr>
        <w:ilvl w:val="2"/>
        <w:numId w:val="22"/>
      </w:numPr>
      <w:spacing w:before="120"/>
      <w:outlineLvl w:val="2"/>
    </w:pPr>
    <w:rPr>
      <w:rFonts w:cs="Arial"/>
      <w:b/>
      <w:bCs/>
    </w:rPr>
  </w:style>
  <w:style w:type="paragraph" w:styleId="Heading4">
    <w:name w:val="heading 4"/>
    <w:basedOn w:val="Normal"/>
    <w:next w:val="Normal"/>
    <w:qFormat/>
    <w:pPr>
      <w:keepNext/>
      <w:numPr>
        <w:ilvl w:val="3"/>
        <w:numId w:val="22"/>
      </w:numPr>
      <w:spacing w:before="120"/>
      <w:outlineLvl w:val="3"/>
    </w:pPr>
    <w:rPr>
      <w:b/>
      <w:bCs/>
    </w:rPr>
  </w:style>
  <w:style w:type="paragraph" w:styleId="Heading5">
    <w:name w:val="heading 5"/>
    <w:basedOn w:val="Normal"/>
    <w:next w:val="Normal"/>
    <w:qFormat/>
    <w:pPr>
      <w:keepNext/>
      <w:numPr>
        <w:ilvl w:val="4"/>
        <w:numId w:val="22"/>
      </w:numPr>
      <w:spacing w:before="120"/>
      <w:outlineLvl w:val="4"/>
    </w:pPr>
    <w:rPr>
      <w:b/>
      <w:bCs/>
      <w:iCs/>
    </w:rPr>
  </w:style>
  <w:style w:type="paragraph" w:styleId="Heading6">
    <w:name w:val="heading 6"/>
    <w:basedOn w:val="Normal"/>
    <w:next w:val="Normal"/>
    <w:qFormat/>
    <w:pPr>
      <w:keepNext/>
      <w:numPr>
        <w:ilvl w:val="5"/>
        <w:numId w:val="22"/>
      </w:numPr>
      <w:spacing w:before="120"/>
      <w:outlineLvl w:val="5"/>
    </w:pPr>
    <w:rPr>
      <w:b/>
      <w:bCs/>
      <w:szCs w:val="22"/>
    </w:rPr>
  </w:style>
  <w:style w:type="paragraph" w:styleId="Heading7">
    <w:name w:val="heading 7"/>
    <w:basedOn w:val="Normal"/>
    <w:next w:val="Normal"/>
    <w:qFormat/>
    <w:pPr>
      <w:keepNext/>
      <w:numPr>
        <w:ilvl w:val="6"/>
        <w:numId w:val="22"/>
      </w:numPr>
      <w:spacing w:before="120"/>
      <w:outlineLvl w:val="6"/>
    </w:pPr>
    <w:rPr>
      <w:szCs w:val="24"/>
    </w:rPr>
  </w:style>
  <w:style w:type="paragraph" w:styleId="Heading8">
    <w:name w:val="heading 8"/>
    <w:basedOn w:val="Normal"/>
    <w:next w:val="Normal"/>
    <w:qFormat/>
    <w:pPr>
      <w:keepNext/>
      <w:numPr>
        <w:ilvl w:val="7"/>
        <w:numId w:val="22"/>
      </w:numPr>
      <w:spacing w:before="120"/>
      <w:outlineLvl w:val="7"/>
    </w:pPr>
    <w:rPr>
      <w:iCs/>
      <w:szCs w:val="24"/>
    </w:rPr>
  </w:style>
  <w:style w:type="paragraph" w:styleId="Heading9">
    <w:name w:val="heading 9"/>
    <w:basedOn w:val="Normal"/>
    <w:next w:val="Normal"/>
    <w:qFormat/>
    <w:pPr>
      <w:keepNext/>
      <w:numPr>
        <w:ilvl w:val="8"/>
        <w:numId w:val="22"/>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pPr>
      <w:keepNext w:val="0"/>
    </w:pPr>
    <w:rPr>
      <w:b w:val="0"/>
      <w:sz w:val="20"/>
    </w:rPr>
  </w:style>
  <w:style w:type="paragraph" w:customStyle="1" w:styleId="Par2">
    <w:name w:val="Par 2"/>
    <w:basedOn w:val="Heading2"/>
    <w:next w:val="Normal"/>
    <w:pPr>
      <w:keepNext w:val="0"/>
    </w:pPr>
    <w:rPr>
      <w:b w:val="0"/>
      <w:sz w:val="20"/>
    </w:rPr>
  </w:style>
  <w:style w:type="paragraph" w:customStyle="1" w:styleId="Par3">
    <w:name w:val="Par 3"/>
    <w:basedOn w:val="Heading3"/>
    <w:next w:val="Normal"/>
    <w:pPr>
      <w:keepNext w:val="0"/>
    </w:pPr>
    <w:rPr>
      <w:b w:val="0"/>
    </w:rPr>
  </w:style>
  <w:style w:type="paragraph" w:customStyle="1" w:styleId="Par4">
    <w:name w:val="Par 4"/>
    <w:basedOn w:val="Heading4"/>
    <w:next w:val="Normal"/>
    <w:pPr>
      <w:keepNext w:val="0"/>
    </w:pPr>
    <w:rPr>
      <w:b w:val="0"/>
    </w:rPr>
  </w:style>
  <w:style w:type="paragraph" w:customStyle="1" w:styleId="Par5">
    <w:name w:val="Par 5"/>
    <w:basedOn w:val="Heading5"/>
    <w:next w:val="Normal"/>
    <w:pPr>
      <w:keepNext w:val="0"/>
    </w:pPr>
    <w:rPr>
      <w:b w:val="0"/>
    </w:rPr>
  </w:style>
  <w:style w:type="paragraph" w:customStyle="1" w:styleId="Par6">
    <w:name w:val="Par 6"/>
    <w:basedOn w:val="Heading6"/>
    <w:next w:val="Normal"/>
    <w:pPr>
      <w:keepNext w:val="0"/>
    </w:pPr>
    <w:rPr>
      <w:b w:val="0"/>
    </w:rPr>
  </w:style>
  <w:style w:type="paragraph" w:customStyle="1" w:styleId="Par7">
    <w:name w:val="Par 7"/>
    <w:basedOn w:val="Heading7"/>
    <w:next w:val="Normal"/>
    <w:pPr>
      <w:keepNext w:val="0"/>
    </w:pPr>
  </w:style>
  <w:style w:type="paragraph" w:customStyle="1" w:styleId="Par8">
    <w:name w:val="Par 8"/>
    <w:basedOn w:val="Heading8"/>
    <w:next w:val="Normal"/>
    <w:pPr>
      <w:keepNext w:val="0"/>
    </w:pPr>
    <w:rPr>
      <w:szCs w:val="20"/>
    </w:rPr>
  </w:style>
  <w:style w:type="paragraph" w:customStyle="1" w:styleId="Par9">
    <w:name w:val="Par 9"/>
    <w:basedOn w:val="Heading9"/>
    <w:next w:val="Normal"/>
    <w:pPr>
      <w:keepNext w:val="0"/>
    </w:pPr>
  </w:style>
  <w:style w:type="paragraph" w:customStyle="1" w:styleId="NormalBold">
    <w:name w:val="Normal_Bold"/>
    <w:basedOn w:val="Normal"/>
    <w:next w:val="Normal"/>
    <w:rPr>
      <w:b/>
    </w:rPr>
  </w:style>
  <w:style w:type="paragraph" w:customStyle="1" w:styleId="NormalIndentLeft">
    <w:name w:val="Normal_IndentLeft"/>
    <w:basedOn w:val="Normal"/>
    <w:next w:val="Normal"/>
    <w:pPr>
      <w:ind w:left="720"/>
    </w:pPr>
  </w:style>
  <w:style w:type="paragraph" w:customStyle="1" w:styleId="NormalIndentLeftRight">
    <w:name w:val="Normal_IndentLeftRight"/>
    <w:basedOn w:val="Normal"/>
    <w:next w:val="Normal"/>
    <w:pPr>
      <w:ind w:left="720" w:right="720"/>
    </w:pPr>
  </w:style>
  <w:style w:type="paragraph" w:customStyle="1" w:styleId="NormalItalic">
    <w:name w:val="Normal_Italic"/>
    <w:basedOn w:val="Normal"/>
    <w:next w:val="Normal"/>
    <w:rPr>
      <w:i/>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customStyle="1" w:styleId="Citation">
    <w:name w:val="Citation"/>
    <w:basedOn w:val="Normal"/>
    <w:next w:val="Normal"/>
    <w:pPr>
      <w:spacing w:before="120"/>
    </w:pPr>
    <w:rPr>
      <w:i/>
    </w:rPr>
  </w:style>
  <w:style w:type="paragraph" w:customStyle="1" w:styleId="Heading0">
    <w:name w:val="Heading 0"/>
    <w:basedOn w:val="Normal"/>
    <w:next w:val="Heading1"/>
    <w:pPr>
      <w:spacing w:after="240"/>
    </w:pPr>
    <w:rPr>
      <w:b/>
      <w:caps/>
      <w:sz w:val="28"/>
    </w:rPr>
  </w:style>
  <w:style w:type="paragraph" w:customStyle="1" w:styleId="Department">
    <w:name w:val="Department"/>
    <w:basedOn w:val="Normal"/>
    <w:next w:val="Normal"/>
    <w:rPr>
      <w:b/>
      <w:sz w:val="18"/>
      <w:szCs w:val="18"/>
    </w:rPr>
  </w:style>
  <w:style w:type="paragraph" w:customStyle="1" w:styleId="DocSource">
    <w:name w:val="DocSource"/>
    <w:basedOn w:val="Normal"/>
    <w:pPr>
      <w:jc w:val="left"/>
    </w:pPr>
    <w:rPr>
      <w:sz w:val="12"/>
      <w:szCs w:val="12"/>
    </w:rPr>
  </w:style>
  <w:style w:type="paragraph" w:customStyle="1" w:styleId="DocEnd">
    <w:name w:val="DocEnd"/>
    <w:basedOn w:val="Normal"/>
    <w:next w:val="DocSource"/>
    <w:pPr>
      <w:spacing w:before="240" w:after="360"/>
    </w:pPr>
    <w:rPr>
      <w:vanish/>
    </w:rPr>
  </w:style>
  <w:style w:type="paragraph" w:customStyle="1" w:styleId="FrontPageTitle">
    <w:name w:val="FrontPage_Title"/>
    <w:basedOn w:val="Normal"/>
    <w:next w:val="NormalBold"/>
    <w:pPr>
      <w:spacing w:after="1200"/>
      <w:jc w:val="center"/>
    </w:pPr>
    <w:rPr>
      <w:rFonts w:ascii="Bookman Old Style" w:hAnsi="Bookman Old Style"/>
      <w:b/>
      <w:sz w:val="40"/>
    </w:rPr>
  </w:style>
  <w:style w:type="paragraph" w:styleId="Footer">
    <w:name w:val="footer"/>
    <w:basedOn w:val="Normal"/>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Pr>
      <w:rFonts w:ascii="Arial" w:hAnsi="Arial" w:cs="Arial"/>
      <w:sz w:val="16"/>
      <w:vertAlign w:val="superscript"/>
      <w:lang w:val="en-ZA"/>
    </w:rPr>
  </w:style>
  <w:style w:type="paragraph" w:styleId="FootnoteText">
    <w:name w:val="footnote text"/>
    <w:basedOn w:val="Normal"/>
    <w:pPr>
      <w:tabs>
        <w:tab w:val="left" w:pos="170"/>
      </w:tabs>
      <w:ind w:left="170" w:hanging="170"/>
    </w:pPr>
    <w:rPr>
      <w:sz w:val="16"/>
    </w:rPr>
  </w:style>
  <w:style w:type="paragraph" w:customStyle="1" w:styleId="TableHeading">
    <w:name w:val="Table_Heading"/>
    <w:basedOn w:val="Normal"/>
    <w:next w:val="Normal"/>
    <w:pPr>
      <w:keepNext/>
      <w:spacing w:before="120"/>
      <w:jc w:val="left"/>
    </w:pPr>
    <w:rPr>
      <w:b/>
    </w:rPr>
  </w:style>
  <w:style w:type="character" w:styleId="Hyperlink">
    <w:name w:val="Hyperlink"/>
    <w:basedOn w:val="DefaultParagraphFont"/>
    <w:semiHidden/>
    <w:rPr>
      <w:rFonts w:ascii="Arial" w:hAnsi="Arial" w:cs="Arial"/>
      <w:color w:val="0000FF"/>
      <w:sz w:val="20"/>
      <w:szCs w:val="20"/>
      <w:u w:val="single"/>
      <w:lang w:val="en-ZA"/>
    </w:rPr>
  </w:style>
  <w:style w:type="character" w:styleId="PageNumber">
    <w:name w:val="page number"/>
    <w:basedOn w:val="DefaultParagraphFont"/>
    <w:rPr>
      <w:rFonts w:ascii="Arial" w:hAnsi="Arial" w:cs="Arial"/>
      <w:sz w:val="20"/>
      <w:szCs w:val="20"/>
      <w:lang w:val="en-ZA"/>
    </w:rPr>
  </w:style>
  <w:style w:type="paragraph" w:customStyle="1" w:styleId="TableParagraphAfter">
    <w:name w:val="Table_ParagraphAfter"/>
    <w:basedOn w:val="Normal"/>
    <w:next w:val="Normal"/>
    <w:pPr>
      <w:spacing w:before="240"/>
    </w:pPr>
  </w:style>
  <w:style w:type="paragraph" w:customStyle="1" w:styleId="TOCHeading">
    <w:name w:val="TOC_Heading"/>
    <w:basedOn w:val="Normal"/>
    <w:next w:val="TOC1"/>
    <w:pPr>
      <w:keepNext/>
      <w:keepLines/>
      <w:spacing w:after="360"/>
      <w:jc w:val="left"/>
    </w:pPr>
    <w:rPr>
      <w:b/>
      <w:sz w:val="24"/>
      <w:szCs w:val="24"/>
    </w:rPr>
  </w:style>
  <w:style w:type="paragraph" w:customStyle="1" w:styleId="ListABC1">
    <w:name w:val="List_ABC 1"/>
    <w:basedOn w:val="Normal"/>
    <w:pPr>
      <w:numPr>
        <w:numId w:val="12"/>
      </w:numPr>
    </w:pPr>
  </w:style>
  <w:style w:type="paragraph" w:styleId="TOC1">
    <w:name w:val="toc 1"/>
    <w:basedOn w:val="Normal"/>
    <w:next w:val="Normal"/>
    <w:autoRedefine/>
    <w:semiHidden/>
    <w:pPr>
      <w:tabs>
        <w:tab w:val="right" w:leader="dot" w:pos="9299"/>
      </w:tabs>
      <w:spacing w:before="180"/>
      <w:ind w:left="1202" w:right="567" w:hanging="1202"/>
    </w:pPr>
    <w:rPr>
      <w:b/>
      <w:sz w:val="22"/>
      <w:szCs w:val="22"/>
    </w:rPr>
  </w:style>
  <w:style w:type="paragraph" w:customStyle="1" w:styleId="ListABC2">
    <w:name w:val="List_ABC 2"/>
    <w:basedOn w:val="Normal"/>
    <w:pPr>
      <w:numPr>
        <w:numId w:val="13"/>
      </w:numPr>
    </w:pPr>
  </w:style>
  <w:style w:type="paragraph" w:customStyle="1" w:styleId="ListNumberBrackets">
    <w:name w:val="List_Number_Brackets"/>
    <w:basedOn w:val="Normal"/>
    <w:pPr>
      <w:numPr>
        <w:numId w:val="17"/>
      </w:numPr>
    </w:pPr>
  </w:style>
  <w:style w:type="paragraph" w:customStyle="1" w:styleId="ListNumberBrackets2">
    <w:name w:val="List_Number_Brackets 2"/>
    <w:basedOn w:val="Normal"/>
    <w:pPr>
      <w:numPr>
        <w:numId w:val="18"/>
      </w:numPr>
    </w:pPr>
  </w:style>
  <w:style w:type="paragraph" w:customStyle="1" w:styleId="ListNumberBrackets3">
    <w:name w:val="List_Number_Brackets 3"/>
    <w:basedOn w:val="Normal"/>
    <w:pPr>
      <w:numPr>
        <w:numId w:val="19"/>
      </w:numPr>
    </w:pPr>
  </w:style>
  <w:style w:type="paragraph" w:customStyle="1" w:styleId="ListNumberBrackets4">
    <w:name w:val="List_Number_Brackets 4"/>
    <w:basedOn w:val="Normal"/>
    <w:pPr>
      <w:numPr>
        <w:numId w:val="20"/>
      </w:numPr>
    </w:pPr>
  </w:style>
  <w:style w:type="paragraph" w:customStyle="1" w:styleId="ListNumberBrackets5">
    <w:name w:val="List_Number_Brackets 5"/>
    <w:basedOn w:val="Normal"/>
    <w:pPr>
      <w:numPr>
        <w:numId w:val="21"/>
      </w:numPr>
    </w:pPr>
  </w:style>
  <w:style w:type="paragraph" w:customStyle="1" w:styleId="NormalHeader">
    <w:name w:val="Normal_Header"/>
    <w:basedOn w:val="Normal"/>
    <w:next w:val="Normal"/>
    <w:pPr>
      <w:keepNext/>
      <w:spacing w:after="60"/>
      <w:jc w:val="left"/>
    </w:pPr>
    <w:rPr>
      <w:b/>
      <w:lang w:val="en-US"/>
    </w:rPr>
  </w:style>
  <w:style w:type="paragraph" w:customStyle="1" w:styleId="CaptionBotTblFig">
    <w:name w:val="CaptionBot_Tbl_Fig"/>
    <w:basedOn w:val="Normal"/>
    <w:next w:val="Normal"/>
    <w:pPr>
      <w:spacing w:before="60" w:after="360"/>
      <w:ind w:left="1134" w:hanging="1134"/>
    </w:pPr>
    <w:rPr>
      <w:b/>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lockText">
    <w:name w:val="Block Text"/>
    <w:basedOn w:val="Normal"/>
    <w:semiHidden/>
    <w:pPr>
      <w:ind w:left="1440" w:right="1440"/>
    </w:p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rPr>
  </w:style>
  <w:style w:type="character" w:styleId="FollowedHyperlink">
    <w:name w:val="FollowedHyperlink"/>
    <w:basedOn w:val="DefaultParagraphFont"/>
    <w:semiHidden/>
    <w:rPr>
      <w:rFonts w:ascii="Arial" w:hAnsi="Arial" w:cs="Arial"/>
      <w:color w:val="800080"/>
      <w:u w:val="single"/>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rPr>
      <w:rFonts w:ascii="Arial" w:hAnsi="Arial" w:cs="Arial"/>
    </w:rPr>
  </w:style>
  <w:style w:type="paragraph" w:styleId="HTMLAddress">
    <w:name w:val="HTML Address"/>
    <w:basedOn w:val="Normal"/>
    <w:semiHidden/>
    <w:rPr>
      <w:i/>
      <w:iCs/>
    </w:rPr>
  </w:style>
  <w:style w:type="character" w:styleId="HTMLCite">
    <w:name w:val="HTML Cite"/>
    <w:basedOn w:val="DefaultParagraphFont"/>
    <w:semiHidden/>
    <w:rPr>
      <w:rFonts w:ascii="Arial" w:hAnsi="Arial" w:cs="Arial"/>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ascii="Arial" w:hAnsi="Arial" w:cs="Arial"/>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ascii="Arial" w:hAnsi="Arial" w:cs="Arial"/>
      <w:i/>
      <w:iCs/>
    </w:rPr>
  </w:style>
  <w:style w:type="character" w:styleId="LineNumber">
    <w:name w:val="line number"/>
    <w:basedOn w:val="DefaultParagraphFont"/>
    <w:semiHidden/>
    <w:rPr>
      <w:rFonts w:ascii="Arial" w:hAnsi="Arial" w:cs="Arial"/>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ind w:left="567"/>
    </w:pPr>
  </w:style>
  <w:style w:type="paragraph" w:styleId="ListContinue2">
    <w:name w:val="List Continue 2"/>
    <w:basedOn w:val="Normal"/>
    <w:pPr>
      <w:ind w:left="1134"/>
    </w:pPr>
  </w:style>
  <w:style w:type="paragraph" w:styleId="ListContinue3">
    <w:name w:val="List Continue 3"/>
    <w:basedOn w:val="Normal"/>
    <w:pPr>
      <w:ind w:left="1701"/>
    </w:pPr>
  </w:style>
  <w:style w:type="paragraph" w:styleId="ListContinue4">
    <w:name w:val="List Continue 4"/>
    <w:basedOn w:val="Normal"/>
    <w:pPr>
      <w:ind w:left="2268"/>
    </w:pPr>
  </w:style>
  <w:style w:type="paragraph" w:styleId="ListContinue5">
    <w:name w:val="List Continue 5"/>
    <w:basedOn w:val="Normal"/>
    <w:pPr>
      <w:ind w:left="283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Pr>
      <w:rFonts w:ascii="Times New Roman" w:hAnsi="Times New Roman"/>
      <w:sz w:val="24"/>
      <w:szCs w:val="24"/>
    </w:rPr>
  </w:style>
  <w:style w:type="paragraph" w:styleId="TOC2">
    <w:name w:val="toc 2"/>
    <w:basedOn w:val="Normal"/>
    <w:next w:val="Normal"/>
    <w:autoRedefine/>
    <w:semiHidden/>
    <w:pPr>
      <w:tabs>
        <w:tab w:val="right" w:leader="dot" w:pos="9299"/>
      </w:tabs>
      <w:spacing w:before="120"/>
      <w:ind w:left="1202" w:right="567" w:hanging="1202"/>
    </w:pPr>
    <w:rPr>
      <w:b/>
    </w:r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rFonts w:ascii="Arial" w:hAnsi="Arial" w:cs="Arial"/>
      <w:b/>
      <w:bCs/>
    </w:rPr>
  </w:style>
  <w:style w:type="paragraph" w:styleId="Subtitle">
    <w:name w:val="Subtitle"/>
    <w:basedOn w:val="Normal"/>
    <w:qFormat/>
    <w:pPr>
      <w:spacing w:after="60"/>
      <w:jc w:val="center"/>
      <w:outlineLvl w:val="1"/>
    </w:pPr>
    <w:rPr>
      <w:rFonts w:cs="Arial"/>
      <w:sz w:val="24"/>
      <w:szCs w:val="24"/>
    </w:rPr>
  </w:style>
  <w:style w:type="table" w:styleId="Table3Deffects1">
    <w:name w:val="Table 3D effects 1"/>
    <w:basedOn w:val="TableNormal"/>
    <w:semiHidden/>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C3">
    <w:name w:val="toc 3"/>
    <w:basedOn w:val="Normal"/>
    <w:next w:val="Normal"/>
    <w:autoRedefine/>
    <w:semiHidden/>
    <w:pPr>
      <w:tabs>
        <w:tab w:val="right" w:leader="dot" w:pos="9299"/>
      </w:tabs>
      <w:ind w:left="1202" w:right="567" w:hanging="1202"/>
    </w:pPr>
  </w:style>
  <w:style w:type="paragraph" w:styleId="TOC4">
    <w:name w:val="toc 4"/>
    <w:basedOn w:val="Normal"/>
    <w:next w:val="Normal"/>
    <w:autoRedefine/>
    <w:semiHidden/>
    <w:pPr>
      <w:tabs>
        <w:tab w:val="right" w:leader="dot" w:pos="9299"/>
      </w:tabs>
      <w:ind w:left="1202" w:right="567" w:hanging="1202"/>
    </w:pPr>
  </w:style>
  <w:style w:type="paragraph" w:styleId="TOC5">
    <w:name w:val="toc 5"/>
    <w:basedOn w:val="Normal"/>
    <w:next w:val="Normal"/>
    <w:autoRedefine/>
    <w:semiHidden/>
    <w:pPr>
      <w:tabs>
        <w:tab w:val="right" w:leader="dot" w:pos="9299"/>
      </w:tabs>
      <w:ind w:left="1202" w:right="567" w:hanging="1202"/>
    </w:pPr>
  </w:style>
  <w:style w:type="paragraph" w:styleId="TOC6">
    <w:name w:val="toc 6"/>
    <w:basedOn w:val="Normal"/>
    <w:next w:val="Normal"/>
    <w:autoRedefine/>
    <w:semiHidden/>
    <w:pPr>
      <w:tabs>
        <w:tab w:val="right" w:leader="dot" w:pos="9299"/>
      </w:tabs>
      <w:ind w:left="1202" w:right="567" w:hanging="1202"/>
    </w:pPr>
  </w:style>
  <w:style w:type="paragraph" w:styleId="TOC7">
    <w:name w:val="toc 7"/>
    <w:basedOn w:val="Normal"/>
    <w:next w:val="Normal"/>
    <w:autoRedefine/>
    <w:semiHidden/>
    <w:pPr>
      <w:tabs>
        <w:tab w:val="right" w:leader="dot" w:pos="9299"/>
      </w:tabs>
      <w:ind w:left="1202" w:right="567" w:hanging="1202"/>
    </w:pPr>
  </w:style>
  <w:style w:type="paragraph" w:styleId="TOC8">
    <w:name w:val="toc 8"/>
    <w:basedOn w:val="Normal"/>
    <w:next w:val="Normal"/>
    <w:autoRedefine/>
    <w:semiHidden/>
    <w:pPr>
      <w:tabs>
        <w:tab w:val="right" w:leader="dot" w:pos="9299"/>
      </w:tabs>
      <w:ind w:left="1202" w:right="567" w:hanging="1202"/>
    </w:pPr>
  </w:style>
  <w:style w:type="paragraph" w:styleId="TOC9">
    <w:name w:val="toc 9"/>
    <w:basedOn w:val="Normal"/>
    <w:next w:val="Normal"/>
    <w:autoRedefine/>
    <w:semiHidden/>
    <w:pPr>
      <w:tabs>
        <w:tab w:val="right" w:leader="dot" w:pos="9299"/>
      </w:tabs>
      <w:ind w:left="1202" w:right="567" w:hanging="1202"/>
    </w:pPr>
  </w:style>
  <w:style w:type="paragraph" w:customStyle="1" w:styleId="CaptionTopTblFig">
    <w:name w:val="CaptionTop_Tbl_Fig"/>
    <w:basedOn w:val="Normal"/>
    <w:next w:val="Normal"/>
    <w:pPr>
      <w:keepNext/>
      <w:spacing w:before="240"/>
      <w:ind w:left="1134" w:hanging="1134"/>
    </w:pPr>
    <w:rPr>
      <w:b/>
    </w:rPr>
  </w:style>
  <w:style w:type="character" w:customStyle="1" w:styleId="Heading1Char">
    <w:name w:val="Heading 1 Char"/>
    <w:basedOn w:val="DefaultParagraphFont"/>
    <w:link w:val="Heading1"/>
    <w:rPr>
      <w:rFonts w:ascii="Arial" w:hAnsi="Arial" w:cs="Arial"/>
      <w:b/>
      <w:bCs/>
      <w:kern w:val="32"/>
      <w:sz w:val="24"/>
      <w:szCs w:val="24"/>
      <w:lang w:eastAsia="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rsid w:val="00D34B4E"/>
    <w:rPr>
      <w:rFonts w:ascii="Arial" w:hAnsi="Arial" w:cs="Arial"/>
      <w:b/>
      <w:bCs/>
      <w:iCs/>
      <w:sz w:val="22"/>
      <w:szCs w:val="22"/>
      <w:lang w:eastAsia="en-US"/>
    </w:rPr>
  </w:style>
  <w:style w:type="paragraph" w:styleId="CommentText">
    <w:name w:val="annotation text"/>
    <w:basedOn w:val="Normal"/>
    <w:link w:val="CommentTextChar"/>
    <w:uiPriority w:val="99"/>
    <w:unhideWhenUsed/>
    <w:rsid w:val="003F6B6C"/>
  </w:style>
  <w:style w:type="character" w:customStyle="1" w:styleId="CommentTextChar">
    <w:name w:val="Comment Text Char"/>
    <w:basedOn w:val="DefaultParagraphFont"/>
    <w:link w:val="CommentText"/>
    <w:uiPriority w:val="99"/>
    <w:rsid w:val="003F6B6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F6B6C"/>
    <w:rPr>
      <w:b/>
      <w:bCs/>
    </w:rPr>
  </w:style>
  <w:style w:type="character" w:customStyle="1" w:styleId="CommentSubjectChar">
    <w:name w:val="Comment Subject Char"/>
    <w:basedOn w:val="CommentTextChar"/>
    <w:link w:val="CommentSubject"/>
    <w:uiPriority w:val="99"/>
    <w:semiHidden/>
    <w:rsid w:val="003F6B6C"/>
    <w:rPr>
      <w:rFonts w:ascii="Arial" w:hAnsi="Arial"/>
      <w:b/>
      <w:bCs/>
      <w:lang w:eastAsia="en-US"/>
    </w:rPr>
  </w:style>
  <w:style w:type="paragraph" w:styleId="Revision">
    <w:name w:val="Revision"/>
    <w:hidden/>
    <w:uiPriority w:val="99"/>
    <w:semiHidden/>
    <w:rsid w:val="0070503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4945">
      <w:bodyDiv w:val="1"/>
      <w:marLeft w:val="0"/>
      <w:marRight w:val="0"/>
      <w:marTop w:val="0"/>
      <w:marBottom w:val="0"/>
      <w:divBdr>
        <w:top w:val="none" w:sz="0" w:space="0" w:color="auto"/>
        <w:left w:val="none" w:sz="0" w:space="0" w:color="auto"/>
        <w:bottom w:val="none" w:sz="0" w:space="0" w:color="auto"/>
        <w:right w:val="none" w:sz="0" w:space="0" w:color="auto"/>
      </w:divBdr>
    </w:div>
    <w:div w:id="798110573">
      <w:bodyDiv w:val="1"/>
      <w:marLeft w:val="0"/>
      <w:marRight w:val="0"/>
      <w:marTop w:val="0"/>
      <w:marBottom w:val="0"/>
      <w:divBdr>
        <w:top w:val="none" w:sz="0" w:space="0" w:color="auto"/>
        <w:left w:val="none" w:sz="0" w:space="0" w:color="auto"/>
        <w:bottom w:val="none" w:sz="0" w:space="0" w:color="auto"/>
        <w:right w:val="none" w:sz="0" w:space="0" w:color="auto"/>
      </w:divBdr>
    </w:div>
    <w:div w:id="798451364">
      <w:bodyDiv w:val="1"/>
      <w:marLeft w:val="0"/>
      <w:marRight w:val="0"/>
      <w:marTop w:val="0"/>
      <w:marBottom w:val="0"/>
      <w:divBdr>
        <w:top w:val="none" w:sz="0" w:space="0" w:color="auto"/>
        <w:left w:val="none" w:sz="0" w:space="0" w:color="auto"/>
        <w:bottom w:val="none" w:sz="0" w:space="0" w:color="auto"/>
        <w:right w:val="none" w:sz="0" w:space="0" w:color="auto"/>
      </w:divBdr>
    </w:div>
    <w:div w:id="21283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Cover page _ E</vt:lpstr>
    </vt:vector>
  </TitlesOfParts>
  <Company>NWU</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 _ E</dc:title>
  <dc:creator>10935746</dc:creator>
  <cp:lastModifiedBy>Windows User</cp:lastModifiedBy>
  <cp:revision>3</cp:revision>
  <cp:lastPrinted>2016-08-22T10:53:00Z</cp:lastPrinted>
  <dcterms:created xsi:type="dcterms:W3CDTF">2018-10-25T07:20:00Z</dcterms:created>
  <dcterms:modified xsi:type="dcterms:W3CDTF">2019-02-08T07:59:00Z</dcterms:modified>
</cp:coreProperties>
</file>